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04" w:lineRule="atLeast"/>
        <w:ind w:left="0" w:right="0" w:firstLine="0"/>
        <w:jc w:val="center"/>
        <w:rPr>
          <w:rFonts w:hint="eastAsia" w:ascii="微软雅黑" w:hAnsi="微软雅黑" w:eastAsia="微软雅黑" w:cs="微软雅黑"/>
          <w:i w:val="0"/>
          <w:iCs w:val="0"/>
          <w:caps w:val="0"/>
          <w:color w:val="BD1A2D"/>
          <w:spacing w:val="0"/>
          <w:sz w:val="38"/>
          <w:szCs w:val="38"/>
        </w:rPr>
      </w:pPr>
      <w:r>
        <w:rPr>
          <w:rFonts w:hint="eastAsia" w:ascii="微软雅黑" w:hAnsi="微软雅黑" w:eastAsia="微软雅黑" w:cs="微软雅黑"/>
          <w:i w:val="0"/>
          <w:iCs w:val="0"/>
          <w:caps w:val="0"/>
          <w:color w:val="BD1A2D"/>
          <w:spacing w:val="0"/>
          <w:sz w:val="38"/>
          <w:szCs w:val="38"/>
          <w:bdr w:val="none" w:color="auto" w:sz="0" w:space="0"/>
          <w:shd w:val="clear" w:fill="FFFFFF"/>
        </w:rPr>
        <w:t>国家养老服务通用政策</w:t>
      </w:r>
    </w:p>
    <w:tbl>
      <w:tblPr>
        <w:tblStyle w:val="4"/>
        <w:tblpPr w:leftFromText="180" w:rightFromText="180" w:vertAnchor="text" w:horzAnchor="page" w:tblpX="1858" w:tblpY="498"/>
        <w:tblOverlap w:val="never"/>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523"/>
        <w:gridCol w:w="3771"/>
        <w:gridCol w:w="2228"/>
        <w:gridCol w:w="17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bookmarkStart w:id="0" w:name="_GoBack"/>
            <w:bookmarkEnd w:id="0"/>
            <w:r>
              <w:rPr>
                <w:rFonts w:hint="eastAsia" w:ascii="微软雅黑" w:hAnsi="微软雅黑" w:eastAsia="微软雅黑" w:cs="微软雅黑"/>
                <w:i w:val="0"/>
                <w:iCs w:val="0"/>
                <w:caps w:val="0"/>
                <w:color w:val="2B3F59"/>
                <w:spacing w:val="0"/>
                <w:sz w:val="19"/>
                <w:szCs w:val="19"/>
              </w:rPr>
              <w:t>序号</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文件名</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发文部门</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发文部门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中华人民共和国老年人权益保障法</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中华人民共和国主席令第24号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全国人民代表大会常务委员会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农村五保供养工作条例</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中华人民共和国国务院令第456号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中华人民共和国国务院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3</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关于加快发展养老服务业的若干意见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国发〔2013〕35号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国务院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4</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关于进一步健全特困人员救助供养制度的意见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中华人民共和国国务院令第456号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国务院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5</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关于全面放开养老服务市场提升养老服务质量的若干意见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国办发〔2016〕91号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国务院办公厅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6</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关于制定和实施老年人照顾服务项目的意见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国办发〔2017〕52号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国务院办公厅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7</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关于推进养老服务发展的意见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国办发〔2019〕5号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国务院办公厅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8</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关于加强农村留守老年人关爱服务工作的意见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民发〔2017〕193号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民政部等九部门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9</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关于开展公办养老机构改革试点工作的通知</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民函〔2013〕369号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10</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关于加强养老服务标准化工作的指导意见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民发〔2014〕17号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民政部等五部门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11</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关于推进养老机构责任保险工作的指导意见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民发〔2014〕47号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民政部等三部门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12</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关于推进城镇养老服务设施建设工作的通知</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民发〔2014〕116号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民政部等四部门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13</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关于鼓励民间资本参与养老服务业发展的实施意见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民发〔2015〕33号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民政部等十部门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14</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关于支持整合改造闲置社会资源发展养老服务的通知</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民发〔2016〕179号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民政部等十一部门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15</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关于加快推进养老服务业放管服改革的通知</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民发〔2017〕25号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民政部等十三部门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16</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中央财政支持开展居家和社区养老服务改革试点工作绩效考核办法</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民发〔2017〕55号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民政部、财政部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17</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关于规范养老机构服务收费管理促进养老服务业健康发展的指导意见</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发改价格〔2015〕129号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发改委、民政部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18</w:t>
            </w:r>
          </w:p>
        </w:tc>
        <w:tc>
          <w:tcPr>
            <w:tcW w:w="377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关于贯彻落实新修改的《中华人民共和国老年人权益保障法》的通知</w:t>
            </w:r>
          </w:p>
        </w:tc>
        <w:tc>
          <w:tcPr>
            <w:tcW w:w="222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民函〔2019〕1号</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民政部</w:t>
            </w:r>
          </w:p>
        </w:tc>
      </w:tr>
    </w:tbl>
    <w:p>
      <w:pPr>
        <w:jc w:val="both"/>
        <w:rPr>
          <w:rFonts w:hint="eastAsia" w:ascii="微软雅黑" w:hAnsi="微软雅黑" w:eastAsia="微软雅黑" w:cs="微软雅黑"/>
          <w:i w:val="0"/>
          <w:iCs w:val="0"/>
          <w:caps w:val="0"/>
          <w:color w:val="2B3F59"/>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5FBB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2023-10-16T05:52:48Z</dcterms:created>
  <dc:creator>fang'yuan</dc:creator>
  <cp:lastModifiedBy>涵涵，3周半</cp:lastModifiedBy>
  <dcterms:modified xsi:type="dcterms:W3CDTF">2023-10-16T05:54:16Z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D4ABEE1FA4064E2AAA24B00E45062045_12</vt:lpwstr>
  </property>
</Properties>
</file>