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center"/>
        <w:rPr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液化石油气钢瓶安全使用一般性要求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一、气瓶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（一）二维码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气瓶应有两个二维码，一个是气瓶阀门码，一个是气源追溯码。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（二）有效期气瓶使用年限最长不超过8年，每4年检测一次。气瓶制造年、月份在气瓶码上扫码体现；气瓶超过制造日期4年的，应当检测，检测年、月份在角阀与瓶体连接处的检验环上。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（三）使用场所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气瓶使用场所应通风良好，不得设置在起居室、卧室、卫生间、地下室、半地下室和高层住宅内，且室温不应高于45℃；气瓶应保持直立使用，与燃气器具的净距不应小于0.5m，商业餐饮用户场所存气总重量超过100千克（6瓶以上15千克）时，应设置专用瓶组间或瓶库，严禁与燃气器具布置在同一场所；同一用气场所不得使用两种或两种以上的气源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燃气器具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燃气器具铭牌上标注的燃气类别应与使用的燃气一致；燃气器具应有熄火保护等安全控制装置，禁止使用国家明令淘汰或年限已满的燃气器具；家用燃气热水器应选用半密闭强制排气式和密闭式；燃气器具燃烧产生的烟气必须排至室外；商业餐饮用户大锅灶、中餐炒菜灶应有排烟设施，大锅灶的炉膛或烟道处应设爆破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调压器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调压器壳体外观应无明显缺陷；居民用户使用的调压器应为固定式不可调调压器；调压器出气口连接应采用螺纹连接，使用插入式连接时应有防脱落措施。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四、燃气器具连接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燃气器具连接软管应使用燃气专用不锈钢波纹软管、金属包覆软管，软管使用年限不低于燃气器具使用年限；软管应无变硬或龟裂损坏，插入式连接时应有防脱落措施；燃气器具连接软管长度不得超过2米，中间不得有接头，连接时不得使用三通；商业餐饮用户存在多个用气点时，宜采用硬管连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五、报警器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现场查验厨房有无安装探测液化石油气的报警器，报警器是否安装于距离地面不高于30cm的区域，报警器的探测范围应覆盖用气区域。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六、钢瓶周围是否堆放杂物或易燃易爆物品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jc w:val="left"/>
        <w:textAlignment w:val="auto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严禁在钢瓶周围堆放杂物或易燃易爆物品。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 w:firstLineChars="200"/>
        <w:jc w:val="lef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56B741"/>
    <w:multiLevelType w:val="singleLevel"/>
    <w:tmpl w:val="B856B74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OTQ4NWZmYzVkMzkzY2QzNDE0NTE1Y2ViZmI2MDgifQ=="/>
  </w:docVars>
  <w:rsids>
    <w:rsidRoot w:val="516D714E"/>
    <w:rsid w:val="516D714E"/>
    <w:rsid w:val="63DB3E54"/>
    <w:rsid w:val="72F07D4E"/>
    <w:rsid w:val="7631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2023-10-19T06:10:00Z</dcterms:created>
  <dc:creator>会飞的大象</dc:creator>
  <cp:lastModifiedBy>会飞的大象</cp:lastModifiedBy>
  <cp:lastPrinted>2023-10-19T07:13:00Z</cp:lastPrinted>
  <dcterms:modified xsi:type="dcterms:W3CDTF">2023-10-19T08:53:07Z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017D23D44E614A8097516A037EAB83BD_11</vt:lpwstr>
  </property>
</Properties>
</file>