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FFF48D">
      <w:pPr>
        <w:spacing w:before="100" w:beforeAutospacing="1" w:after="100" w:afterAutospacing="1" w:line="360" w:lineRule="auto"/>
        <w:ind w:left="700" w:hanging="700" w:hangingChars="350"/>
        <w:contextualSpacing/>
        <w:rPr>
          <w:rFonts w:ascii="Times New Roman" w:hAnsi="Times New Roman" w:eastAsia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bookmarkStart w:id="0" w:name="04盘山县得胜街道大仓村村庄规划（2022-2035年）说明书"/>
      <w:bookmarkEnd w:id="0"/>
      <w:bookmarkStart w:id="1" w:name="01盘山县得胜街道大仓村村庄规划（2022-2035年）文本"/>
      <w:bookmarkEnd w:id="1"/>
      <w:bookmarkStart w:id="2" w:name="02盘山县得胜街道大仓村村庄规划图集目录"/>
      <w:bookmarkEnd w:id="2"/>
    </w:p>
    <w:p w14:paraId="3F55BBE9">
      <w:pPr>
        <w:spacing w:before="100" w:beforeAutospacing="1" w:after="100" w:afterAutospacing="1" w:line="360" w:lineRule="auto"/>
        <w:ind w:left="700" w:hanging="700" w:hangingChars="350"/>
        <w:contextualSpacing/>
        <w:rPr>
          <w:rFonts w:ascii="Times New Roman" w:hAnsi="Times New Roman" w:eastAsia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5716A8B1">
      <w:pPr>
        <w:spacing w:before="100" w:beforeAutospacing="1" w:after="100" w:afterAutospacing="1" w:line="360" w:lineRule="auto"/>
        <w:ind w:left="700" w:hanging="700" w:hangingChars="350"/>
        <w:contextualSpacing/>
        <w:rPr>
          <w:rFonts w:ascii="Times New Roman" w:hAnsi="Times New Roman" w:eastAsia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1B528058">
      <w:pPr>
        <w:spacing w:before="100" w:beforeAutospacing="1" w:after="100" w:afterAutospacing="1" w:line="360" w:lineRule="auto"/>
        <w:ind w:left="700" w:hanging="700" w:hangingChars="350"/>
        <w:contextualSpacing/>
        <w:rPr>
          <w:rFonts w:ascii="Times New Roman" w:hAnsi="Times New Roman" w:eastAsia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471274FA">
      <w:pPr>
        <w:spacing w:before="100" w:beforeAutospacing="1" w:after="100" w:afterAutospacing="1" w:line="360" w:lineRule="auto"/>
        <w:ind w:left="700" w:hanging="700" w:hangingChars="350"/>
        <w:contextualSpacing/>
        <w:rPr>
          <w:rFonts w:ascii="Times New Roman" w:hAnsi="Times New Roman" w:eastAsia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2A1E7FD3">
      <w:pPr>
        <w:spacing w:before="100" w:beforeAutospacing="1" w:after="100" w:afterAutospacing="1" w:line="360" w:lineRule="auto"/>
        <w:ind w:left="700" w:hanging="700" w:hangingChars="350"/>
        <w:contextualSpacing/>
        <w:rPr>
          <w:rFonts w:ascii="Times New Roman" w:hAnsi="Times New Roman" w:eastAsia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6F1A95CB">
      <w:pPr>
        <w:spacing w:before="100" w:beforeAutospacing="1" w:after="100" w:afterAutospacing="1" w:line="360" w:lineRule="auto"/>
        <w:ind w:left="700" w:hanging="700" w:hangingChars="350"/>
        <w:contextualSpacing/>
        <w:rPr>
          <w:rFonts w:ascii="Times New Roman" w:hAnsi="Times New Roman" w:eastAsia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69F18C46">
      <w:pPr>
        <w:spacing w:before="100" w:beforeAutospacing="1" w:after="100" w:afterAutospacing="1" w:line="360" w:lineRule="auto"/>
        <w:ind w:left="700" w:hanging="700" w:hangingChars="350"/>
        <w:contextualSpacing/>
        <w:rPr>
          <w:rFonts w:ascii="Times New Roman" w:hAnsi="Times New Roman" w:eastAsia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729F3943">
      <w:pPr>
        <w:spacing w:before="100" w:beforeAutospacing="1" w:after="100" w:afterAutospacing="1" w:line="360" w:lineRule="auto"/>
        <w:ind w:left="735" w:hanging="735" w:hangingChars="350"/>
        <w:contextualSpacing/>
        <w:rPr>
          <w:rFonts w:ascii="Times New Roman" w:hAnsi="Times New Roman" w:eastAsia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0A747E4B">
      <w:pPr>
        <w:spacing w:before="100" w:beforeAutospacing="1" w:after="100" w:afterAutospacing="1" w:line="360" w:lineRule="auto"/>
        <w:ind w:left="1974" w:hanging="1974" w:hangingChars="350"/>
        <w:contextualSpacing/>
        <w:jc w:val="center"/>
        <w:rPr>
          <w:rFonts w:hint="eastAsia" w:ascii="黑体" w:hAnsi="黑体" w:eastAsia="黑体" w:cs="黑体"/>
          <w:color w:val="000000" w:themeColor="text1"/>
          <w:spacing w:val="2"/>
          <w:sz w:val="56"/>
          <w:szCs w:val="5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2"/>
          <w:sz w:val="56"/>
          <w:szCs w:val="56"/>
          <w:lang w:eastAsia="zh-CN"/>
          <w14:textFill>
            <w14:solidFill>
              <w14:schemeClr w14:val="tx1"/>
            </w14:solidFill>
          </w14:textFill>
        </w:rPr>
        <w:t>昌图</w:t>
      </w:r>
      <w:r>
        <w:rPr>
          <w:rFonts w:ascii="黑体" w:hAnsi="黑体" w:eastAsia="黑体" w:cs="黑体"/>
          <w:color w:val="000000" w:themeColor="text1"/>
          <w:spacing w:val="2"/>
          <w:sz w:val="56"/>
          <w:szCs w:val="56"/>
          <w:lang w:eastAsia="zh-CN"/>
          <w14:textFill>
            <w14:solidFill>
              <w14:schemeClr w14:val="tx1"/>
            </w14:solidFill>
          </w14:textFill>
        </w:rPr>
        <w:t>县</w:t>
      </w:r>
      <w:r>
        <w:rPr>
          <w:rFonts w:hint="eastAsia" w:ascii="黑体" w:hAnsi="黑体" w:eastAsia="黑体" w:cs="黑体"/>
          <w:color w:val="000000" w:themeColor="text1"/>
          <w:spacing w:val="2"/>
          <w:sz w:val="56"/>
          <w:szCs w:val="56"/>
          <w:lang w:eastAsia="zh-CN"/>
          <w14:textFill>
            <w14:solidFill>
              <w14:schemeClr w14:val="tx1"/>
            </w14:solidFill>
          </w14:textFill>
        </w:rPr>
        <w:t>老四平镇陈家油坊村</w:t>
      </w:r>
    </w:p>
    <w:p w14:paraId="6164A564">
      <w:pPr>
        <w:spacing w:before="100" w:beforeAutospacing="1" w:after="100" w:afterAutospacing="1" w:line="360" w:lineRule="auto"/>
        <w:ind w:left="1974" w:hanging="1974" w:hangingChars="350"/>
        <w:contextualSpacing/>
        <w:jc w:val="center"/>
        <w:rPr>
          <w:rFonts w:hint="eastAsia" w:ascii="黑体" w:hAnsi="黑体" w:eastAsia="黑体" w:cs="黑体"/>
          <w:color w:val="000000" w:themeColor="text1"/>
          <w:sz w:val="56"/>
          <w:szCs w:val="5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pacing w:val="2"/>
          <w:sz w:val="56"/>
          <w:szCs w:val="56"/>
          <w:lang w:eastAsia="zh-CN"/>
          <w14:textFill>
            <w14:solidFill>
              <w14:schemeClr w14:val="tx1"/>
            </w14:solidFill>
          </w14:textFill>
        </w:rPr>
        <w:t>村庄规划</w:t>
      </w:r>
    </w:p>
    <w:p w14:paraId="6D29D673">
      <w:pPr>
        <w:spacing w:before="100" w:beforeAutospacing="1" w:after="100" w:afterAutospacing="1" w:line="360" w:lineRule="auto"/>
        <w:ind w:left="1960" w:hanging="1960" w:hangingChars="350"/>
        <w:contextualSpacing/>
        <w:jc w:val="center"/>
        <w:rPr>
          <w:rFonts w:hint="eastAsia" w:ascii="黑体" w:hAnsi="黑体" w:eastAsia="黑体" w:cs="黑体"/>
          <w:color w:val="000000" w:themeColor="text1"/>
          <w:sz w:val="56"/>
          <w:szCs w:val="5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 w:val="56"/>
          <w:szCs w:val="56"/>
          <w:lang w:eastAsia="zh-CN"/>
          <w14:textFill>
            <w14:solidFill>
              <w14:schemeClr w14:val="tx1"/>
            </w14:solidFill>
          </w14:textFill>
        </w:rPr>
        <w:t>（202</w:t>
      </w:r>
      <w:r>
        <w:rPr>
          <w:rFonts w:hint="eastAsia" w:ascii="黑体" w:hAnsi="黑体" w:eastAsia="黑体" w:cs="黑体"/>
          <w:color w:val="000000" w:themeColor="text1"/>
          <w:sz w:val="56"/>
          <w:szCs w:val="56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黑体" w:hAnsi="黑体" w:eastAsia="黑体" w:cs="黑体"/>
          <w:color w:val="000000" w:themeColor="text1"/>
          <w:sz w:val="56"/>
          <w:szCs w:val="56"/>
          <w:lang w:eastAsia="zh-CN"/>
          <w14:textFill>
            <w14:solidFill>
              <w14:schemeClr w14:val="tx1"/>
            </w14:solidFill>
          </w14:textFill>
        </w:rPr>
        <w:t>-2035年）</w:t>
      </w:r>
    </w:p>
    <w:p w14:paraId="7914F3E8">
      <w:pPr>
        <w:spacing w:before="100" w:beforeAutospacing="1" w:after="100" w:afterAutospacing="1" w:line="360" w:lineRule="auto"/>
        <w:ind w:left="1988" w:hanging="1988" w:hangingChars="350"/>
        <w:contextualSpacing/>
        <w:jc w:val="center"/>
        <w:rPr>
          <w:rFonts w:hint="eastAsia" w:ascii="黑体" w:hAnsi="黑体" w:eastAsia="黑体" w:cs="黑体"/>
          <w:color w:val="000000" w:themeColor="text1"/>
          <w:sz w:val="56"/>
          <w:szCs w:val="5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4"/>
          <w:sz w:val="56"/>
          <w:szCs w:val="56"/>
          <w:lang w:eastAsia="zh-CN"/>
          <w14:textFill>
            <w14:solidFill>
              <w14:schemeClr w14:val="tx1"/>
            </w14:solidFill>
          </w14:textFill>
        </w:rPr>
        <w:t>公示稿</w:t>
      </w:r>
    </w:p>
    <w:p w14:paraId="33DE0E7B">
      <w:pPr>
        <w:spacing w:before="100" w:beforeAutospacing="1" w:after="100" w:afterAutospacing="1" w:line="360" w:lineRule="auto"/>
        <w:ind w:left="1960" w:hanging="1960" w:hangingChars="350"/>
        <w:contextualSpacing/>
        <w:rPr>
          <w:rFonts w:hint="eastAsia" w:ascii="黑体" w:hAnsi="黑体" w:eastAsia="黑体" w:cs="黑体"/>
          <w:color w:val="000000" w:themeColor="text1"/>
          <w:sz w:val="56"/>
          <w:szCs w:val="56"/>
          <w:lang w:eastAsia="zh-CN"/>
          <w14:textFill>
            <w14:solidFill>
              <w14:schemeClr w14:val="tx1"/>
            </w14:solidFill>
          </w14:textFill>
        </w:rPr>
      </w:pPr>
    </w:p>
    <w:p w14:paraId="68DE609E">
      <w:pPr>
        <w:spacing w:before="100" w:beforeAutospacing="1" w:after="100" w:afterAutospacing="1" w:line="360" w:lineRule="auto"/>
        <w:ind w:left="1960" w:hanging="1960" w:hangingChars="350"/>
        <w:contextualSpacing/>
        <w:rPr>
          <w:rFonts w:hint="eastAsia" w:ascii="黑体" w:hAnsi="黑体" w:eastAsia="黑体" w:cs="黑体"/>
          <w:color w:val="000000" w:themeColor="text1"/>
          <w:sz w:val="56"/>
          <w:szCs w:val="56"/>
          <w:lang w:eastAsia="zh-CN"/>
          <w14:textFill>
            <w14:solidFill>
              <w14:schemeClr w14:val="tx1"/>
            </w14:solidFill>
          </w14:textFill>
        </w:rPr>
      </w:pPr>
    </w:p>
    <w:p w14:paraId="362D88BB">
      <w:pPr>
        <w:spacing w:before="100" w:beforeAutospacing="1" w:after="100" w:afterAutospacing="1" w:line="360" w:lineRule="auto"/>
        <w:ind w:left="1960" w:hanging="1960" w:hangingChars="350"/>
        <w:contextualSpacing/>
        <w:rPr>
          <w:rFonts w:hint="eastAsia" w:ascii="黑体" w:hAnsi="黑体" w:eastAsia="黑体" w:cs="黑体"/>
          <w:color w:val="000000" w:themeColor="text1"/>
          <w:sz w:val="56"/>
          <w:szCs w:val="56"/>
          <w:lang w:eastAsia="zh-CN"/>
          <w14:textFill>
            <w14:solidFill>
              <w14:schemeClr w14:val="tx1"/>
            </w14:solidFill>
          </w14:textFill>
        </w:rPr>
      </w:pPr>
    </w:p>
    <w:p w14:paraId="0BE34707">
      <w:pPr>
        <w:spacing w:before="100" w:beforeAutospacing="1" w:after="100" w:afterAutospacing="1" w:line="360" w:lineRule="auto"/>
        <w:ind w:left="1820" w:hanging="1820" w:hangingChars="350"/>
        <w:contextualSpacing/>
        <w:rPr>
          <w:rFonts w:hint="eastAsia" w:ascii="黑体" w:hAnsi="黑体" w:eastAsia="黑体" w:cs="黑体"/>
          <w:color w:val="000000" w:themeColor="text1"/>
          <w:sz w:val="52"/>
          <w:szCs w:val="52"/>
          <w:lang w:eastAsia="zh-CN"/>
          <w14:textFill>
            <w14:solidFill>
              <w14:schemeClr w14:val="tx1"/>
            </w14:solidFill>
          </w14:textFill>
        </w:rPr>
      </w:pPr>
    </w:p>
    <w:p w14:paraId="292889E6">
      <w:pPr>
        <w:pStyle w:val="6"/>
        <w:spacing w:before="100" w:beforeAutospacing="1" w:after="100" w:afterAutospacing="1" w:line="360" w:lineRule="auto"/>
        <w:ind w:left="980" w:hanging="980" w:hangingChars="350"/>
        <w:contextualSpacing/>
        <w:jc w:val="center"/>
        <w:rPr>
          <w:rFonts w:hint="eastAsia" w:ascii="黑体" w:hAnsi="黑体" w:eastAsia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昌图</w:t>
      </w:r>
      <w:r>
        <w:rPr>
          <w:rFonts w:ascii="黑体" w:hAnsi="黑体" w:eastAsia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县</w:t>
      </w:r>
      <w:r>
        <w:rPr>
          <w:rFonts w:hint="eastAsia" w:ascii="黑体" w:hAnsi="黑体" w:eastAsia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老四平镇人民政府</w:t>
      </w:r>
    </w:p>
    <w:p w14:paraId="133EF26E">
      <w:pPr>
        <w:pStyle w:val="6"/>
        <w:spacing w:before="100" w:beforeAutospacing="1" w:after="100" w:afterAutospacing="1" w:line="360" w:lineRule="auto"/>
        <w:ind w:left="980" w:hanging="980" w:hangingChars="350"/>
        <w:contextualSpacing/>
        <w:jc w:val="center"/>
        <w:rPr>
          <w:rFonts w:hint="eastAsia" w:ascii="黑体" w:hAnsi="黑体" w:eastAsia="黑体"/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绿盟（北京）国际工程设计有限公司</w:t>
      </w:r>
    </w:p>
    <w:p w14:paraId="70E73070">
      <w:pPr>
        <w:pStyle w:val="6"/>
        <w:spacing w:before="100" w:beforeAutospacing="1" w:after="100" w:afterAutospacing="1" w:line="360" w:lineRule="auto"/>
        <w:ind w:left="980" w:hanging="980" w:hangingChars="350"/>
        <w:contextualSpacing/>
        <w:jc w:val="center"/>
        <w:rPr>
          <w:rFonts w:hint="eastAsia" w:ascii="黑体" w:hAnsi="黑体" w:eastAsia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黑体" w:hAnsi="黑体" w:eastAsia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黑体" w:hAnsi="黑体" w:eastAsia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黑体" w:hAnsi="黑体" w:eastAsia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7</w:t>
      </w:r>
      <w:r>
        <w:rPr>
          <w:rFonts w:ascii="黑体" w:hAnsi="黑体" w:eastAsia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月</w:t>
      </w:r>
    </w:p>
    <w:p w14:paraId="02103253">
      <w:pPr>
        <w:widowControl/>
        <w:rPr>
          <w:rFonts w:hint="eastAsia" w:ascii="黑体" w:hAnsi="黑体" w:eastAsia="黑体" w:cs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br w:type="page"/>
      </w:r>
    </w:p>
    <w:p w14:paraId="011619E3">
      <w:pPr>
        <w:spacing w:before="100" w:beforeAutospacing="1" w:after="100" w:afterAutospacing="1" w:line="360" w:lineRule="auto"/>
        <w:ind w:left="1120" w:hanging="1120" w:hangingChars="350"/>
        <w:contextualSpacing/>
        <w:jc w:val="center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10" w:h="16840"/>
          <w:pgMar w:top="1134" w:right="1440" w:bottom="1134" w:left="1440" w:header="850" w:footer="850" w:gutter="0"/>
          <w:pgNumType w:start="1"/>
          <w:cols w:space="720" w:num="1"/>
          <w:titlePg/>
          <w:docGrid w:linePitch="299" w:charSpace="0"/>
        </w:sectPr>
      </w:pPr>
    </w:p>
    <w:sdt>
      <w:sdtPr>
        <w:rPr>
          <w:rFonts w:asciiTheme="majorHAnsi" w:hAnsiTheme="majorHAnsi" w:eastAsiaTheme="majorEastAsia" w:cstheme="majorBidi"/>
          <w:b/>
          <w:bCs/>
          <w:color w:val="000000" w:themeColor="text1"/>
          <w:sz w:val="32"/>
          <w:szCs w:val="32"/>
          <w:lang w:val="zh-CN" w:eastAsia="zh-CN"/>
          <w14:textFill>
            <w14:solidFill>
              <w14:schemeClr w14:val="tx1"/>
            </w14:solidFill>
          </w14:textFill>
        </w:rPr>
        <w:id w:val="-813640430"/>
        <w:docPartObj>
          <w:docPartGallery w:val="Table of Contents"/>
          <w:docPartUnique/>
        </w:docPartObj>
      </w:sdtPr>
      <w:sdtEndPr>
        <w:rPr>
          <w:rFonts w:asciiTheme="majorHAnsi" w:hAnsiTheme="majorHAnsi" w:eastAsiaTheme="majorEastAsia" w:cstheme="majorBidi"/>
          <w:b/>
          <w:bCs/>
          <w:color w:val="000000" w:themeColor="text1"/>
          <w:sz w:val="32"/>
          <w:szCs w:val="32"/>
          <w:lang w:val="zh-CN" w:eastAsia="zh-CN"/>
          <w14:textFill>
            <w14:solidFill>
              <w14:schemeClr w14:val="tx1"/>
            </w14:solidFill>
          </w14:textFill>
        </w:rPr>
      </w:sdtEndPr>
      <w:sdtContent>
        <w:p w14:paraId="0F67B32F">
          <w:pPr>
            <w:pStyle w:val="20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jc w:val="center"/>
            <w:rPr>
              <w:rFonts w:hint="eastAsia"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/>
              <w:color w:val="000000" w:themeColor="text1"/>
              <w:sz w:val="36"/>
              <w:szCs w:val="36"/>
              <w:lang w:val="zh-CN" w:eastAsia="zh-CN"/>
              <w14:textFill>
                <w14:solidFill>
                  <w14:schemeClr w14:val="tx1"/>
                </w14:solidFill>
              </w14:textFill>
            </w:rPr>
            <w:t>目录</w:t>
          </w:r>
        </w:p>
        <w:p w14:paraId="72744F8F">
          <w:pPr>
            <w:pStyle w:val="20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</w:pPr>
          <w:r>
            <w:rPr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instrText xml:space="preserve"> TOC \o "2-2" \h \z \t "标题 1,1,标题一,1,标题二,1" </w:instrText>
          </w:r>
          <w:r>
            <w:rPr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fldChar w:fldCharType="begin"/>
          </w:r>
          <w:r>
            <w:instrText xml:space="preserve"> HYPERLINK \l "_Toc201914674" </w:instrText>
          </w:r>
          <w:r>
            <w:fldChar w:fldCharType="separate"/>
          </w:r>
          <w:r>
            <w:rPr>
              <w:rStyle w:val="28"/>
              <w:rFonts w:hint="eastAsia" w:ascii="仿宋_GB2312"/>
              <w:b/>
            </w:rPr>
            <w:t>第一章</w:t>
          </w:r>
          <w:r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</w:rPr>
            <w:t>总则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_Toc201914674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31D0726">
          <w:pPr>
            <w:pStyle w:val="20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"_Toc201914675" </w:instrText>
          </w:r>
          <w:r>
            <w:fldChar w:fldCharType="separate"/>
          </w:r>
          <w:r>
            <w:rPr>
              <w:rStyle w:val="28"/>
              <w:rFonts w:hint="eastAsia" w:ascii="仿宋_GB2312"/>
              <w:b/>
            </w:rPr>
            <w:t>第二章</w:t>
          </w:r>
          <w:r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</w:rPr>
            <w:t>发展目标定位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_Toc201914675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5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BA833B7">
          <w:pPr>
            <w:pStyle w:val="20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"_Toc201914676" </w:instrText>
          </w:r>
          <w:r>
            <w:fldChar w:fldCharType="separate"/>
          </w:r>
          <w:r>
            <w:rPr>
              <w:rStyle w:val="28"/>
              <w:rFonts w:hint="eastAsia" w:ascii="仿宋_GB2312"/>
              <w:b/>
            </w:rPr>
            <w:t>第三章</w:t>
          </w:r>
          <w:r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</w:rPr>
            <w:t>边界划定与管控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_Toc201914676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6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ED4D783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"_Toc201914677"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第一节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农业空间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_Toc201914677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6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065C82E0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"_Toc201914678"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第二节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生态空间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_Toc201914678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6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26158D64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"_Toc201914679"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第三节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建设空间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_Toc201914679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6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23DDE9C8">
          <w:pPr>
            <w:pStyle w:val="20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"_Toc201914680" </w:instrText>
          </w:r>
          <w:r>
            <w:fldChar w:fldCharType="separate"/>
          </w:r>
          <w:r>
            <w:rPr>
              <w:rStyle w:val="28"/>
              <w:rFonts w:hint="eastAsia" w:ascii="仿宋_GB2312"/>
              <w:b/>
            </w:rPr>
            <w:t>第四章</w:t>
          </w:r>
          <w:r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</w:rPr>
            <w:t>产业发展规划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_Toc201914680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8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135E56D4">
          <w:pPr>
            <w:pStyle w:val="20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"_Toc201914681" </w:instrText>
          </w:r>
          <w:r>
            <w:fldChar w:fldCharType="separate"/>
          </w:r>
          <w:r>
            <w:rPr>
              <w:rStyle w:val="28"/>
              <w:rFonts w:hint="eastAsia" w:ascii="仿宋_GB2312"/>
              <w:b/>
              <w:lang w:eastAsia="zh-CN"/>
            </w:rPr>
            <w:t>第五章</w:t>
          </w:r>
          <w:r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用地布局规划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_Toc201914681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10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2535CD32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"_Toc201914682"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第一节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建设用地规划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_Toc201914682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10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1C0DCA43">
          <w:pPr>
            <w:pStyle w:val="20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"_Toc201914683" </w:instrText>
          </w:r>
          <w:r>
            <w:fldChar w:fldCharType="separate"/>
          </w:r>
          <w:r>
            <w:rPr>
              <w:rStyle w:val="28"/>
              <w:rFonts w:hint="eastAsia" w:ascii="仿宋_GB2312"/>
              <w:b/>
            </w:rPr>
            <w:t>第六章</w:t>
          </w:r>
          <w:r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</w:rPr>
            <w:t>公共服务设施规划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_Toc201914683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11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581530AC">
          <w:pPr>
            <w:pStyle w:val="20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"_Toc201914684" </w:instrText>
          </w:r>
          <w:r>
            <w:fldChar w:fldCharType="separate"/>
          </w:r>
          <w:r>
            <w:rPr>
              <w:rStyle w:val="28"/>
              <w:rFonts w:hint="eastAsia" w:ascii="仿宋_GB2312"/>
              <w:b/>
            </w:rPr>
            <w:t>第七章</w:t>
          </w:r>
          <w:r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</w:rPr>
            <w:t>基础设施规划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_Toc201914684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FF92980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"_Toc201914685"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第一节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道路系统规划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_Toc201914685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54B9E65F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"_Toc201914686"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第二节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给水工程规划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_Toc201914686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AC7A04D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"_Toc201914687"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第三节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排水工程规划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_Toc201914687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575DA95A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"_Toc201914688"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第四节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电力工程规划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_Toc201914688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F36B371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"_Toc201914689"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第五节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电信工程规划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_Toc201914689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08ED669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"_Toc201914690"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第六节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燃气供热工程规划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_Toc201914690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14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2C4443F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"_Toc201914691"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第七节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环卫工程规划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_Toc201914691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14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6E7B1760">
          <w:pPr>
            <w:pStyle w:val="20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"_Toc201914692" </w:instrText>
          </w:r>
          <w:r>
            <w:fldChar w:fldCharType="separate"/>
          </w:r>
          <w:r>
            <w:rPr>
              <w:rStyle w:val="28"/>
              <w:rFonts w:hint="eastAsia" w:ascii="仿宋_GB2312"/>
              <w:b/>
            </w:rPr>
            <w:t>第八章</w:t>
          </w:r>
          <w:r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</w:rPr>
            <w:t>防灾减灾规划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_Toc201914692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15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033CACB3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"_Toc201914693"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第一节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防洪规划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_Toc201914693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15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49B9F504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"_Toc201914694"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第二节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消防规划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_Toc201914694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15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DF977D0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"_Toc201914695"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第三节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抗震规划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_Toc201914695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15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667663D7">
          <w:pPr>
            <w:pStyle w:val="20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"_Toc201914696" </w:instrText>
          </w:r>
          <w:r>
            <w:fldChar w:fldCharType="separate"/>
          </w:r>
          <w:r>
            <w:rPr>
              <w:rStyle w:val="28"/>
              <w:rFonts w:hint="eastAsia" w:ascii="仿宋_GB2312"/>
              <w:b/>
            </w:rPr>
            <w:t>第九章</w:t>
          </w:r>
          <w:r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</w:rPr>
            <w:t>村庄整治规划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_Toc201914696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17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66E123EB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"_Toc201914697"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第一节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农房改造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_Toc201914697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17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662BCF07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"_Toc201914698"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第二节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环境整治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_Toc201914698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17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9B22585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"_Toc201914699"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第三节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风貌提升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_Toc201914699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18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02564154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"_Toc201914700"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第四节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土地整治与生态修复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_Toc201914700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18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4214D71B">
          <w:pPr>
            <w:pStyle w:val="20"/>
            <w:tabs>
              <w:tab w:val="left" w:pos="126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"_Toc201914701" </w:instrText>
          </w:r>
          <w:r>
            <w:fldChar w:fldCharType="separate"/>
          </w:r>
          <w:r>
            <w:rPr>
              <w:rStyle w:val="28"/>
              <w:rFonts w:hint="eastAsia" w:ascii="仿宋_GB2312"/>
              <w:b/>
            </w:rPr>
            <w:t>第十章</w:t>
          </w:r>
          <w:r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</w:rPr>
            <w:t>近期建设规划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_Toc201914701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21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48D0B5E">
          <w:pPr>
            <w:pStyle w:val="20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"_Toc201914702" </w:instrText>
          </w:r>
          <w:r>
            <w:fldChar w:fldCharType="separate"/>
          </w:r>
          <w:r>
            <w:rPr>
              <w:rStyle w:val="28"/>
              <w:rFonts w:hint="eastAsia" w:ascii="仿宋_GB2312"/>
              <w:b/>
            </w:rPr>
            <w:t>第十一章</w:t>
          </w:r>
          <w:r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</w:rPr>
            <w:t>规划实施措施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_Toc201914702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21F9D67D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"_Toc201914703"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第一节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实施措施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_Toc201914703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08A63BE0">
          <w:pPr>
            <w:pStyle w:val="23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"_Toc201914704" </w:instrText>
          </w:r>
          <w:r>
            <w:fldChar w:fldCharType="separate"/>
          </w:r>
          <w:r>
            <w:rPr>
              <w:rStyle w:val="28"/>
              <w:rFonts w:hint="eastAsia" w:ascii="仿宋_GB2312" w:eastAsia="仿宋_GB2312"/>
              <w:b/>
              <w:lang w:eastAsia="zh-CN"/>
            </w:rPr>
            <w:t>第二节</w:t>
          </w:r>
          <w:r>
            <w:rPr>
              <w:rFonts w:hint="eastAsia" w:asciiTheme="minorHAnsi" w:hAnsiTheme="minorHAnsi" w:eastAsiaTheme="minorEastAsia"/>
              <w:kern w:val="2"/>
              <w:sz w:val="22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  <w:lang w:eastAsia="zh-CN"/>
            </w:rPr>
            <w:t>实施方案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_Toc201914704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6C53B845">
          <w:pPr>
            <w:pStyle w:val="20"/>
            <w:tabs>
              <w:tab w:val="left" w:pos="1680"/>
              <w:tab w:val="right" w:leader="dot" w:pos="9020"/>
            </w:tabs>
            <w:adjustRightInd w:val="0"/>
            <w:snapToGrid w:val="0"/>
            <w:spacing w:before="0"/>
            <w:ind w:left="0"/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"_Toc201914705" </w:instrText>
          </w:r>
          <w:r>
            <w:fldChar w:fldCharType="separate"/>
          </w:r>
          <w:r>
            <w:rPr>
              <w:rStyle w:val="28"/>
              <w:rFonts w:hint="eastAsia" w:ascii="仿宋_GB2312"/>
              <w:b/>
            </w:rPr>
            <w:t>第十二章</w:t>
          </w:r>
          <w:r>
            <w:rPr>
              <w:rFonts w:hint="eastAsia" w:asciiTheme="minorHAnsi" w:hAnsiTheme="minorHAnsi" w:eastAsiaTheme="minorEastAsia"/>
              <w:kern w:val="2"/>
              <w:sz w:val="22"/>
              <w:szCs w:val="24"/>
              <w:lang w:eastAsia="zh-CN"/>
              <w14:ligatures w14:val="standardContextual"/>
            </w:rPr>
            <w:tab/>
          </w:r>
          <w:r>
            <w:rPr>
              <w:rStyle w:val="28"/>
              <w:rFonts w:hint="eastAsia"/>
            </w:rPr>
            <w:t>附则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_Toc201914705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24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46C2F650">
          <w:pPr>
            <w:pStyle w:val="38"/>
            <w:numPr>
              <w:ilvl w:val="0"/>
              <w:numId w:val="0"/>
            </w:numPr>
            <w:spacing w:before="0" w:beforeLines="0" w:after="0" w:afterAutospacing="0" w:line="240" w:lineRule="auto"/>
            <w:jc w:val="left"/>
            <w:rPr>
              <w:rFonts w:hint="eastAsia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</w:pPr>
          <w:r>
            <w:rPr>
              <w:b w:val="0"/>
              <w:bCs w:val="0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 w14:paraId="30C580D0">
      <w:pPr>
        <w:pStyle w:val="6"/>
        <w:rPr>
          <w:rFonts w:hint="eastAsia"/>
        </w:rPr>
      </w:pPr>
      <w:bookmarkStart w:id="3" w:name="_bookmark0"/>
      <w:bookmarkEnd w:id="3"/>
      <w:bookmarkStart w:id="4" w:name="_Toc168500113"/>
      <w:bookmarkStart w:id="5" w:name="_Toc168490985"/>
      <w:bookmarkStart w:id="6" w:name="_Toc168658788"/>
      <w:bookmarkStart w:id="7" w:name="_Toc168661232"/>
      <w:bookmarkStart w:id="8" w:name="_Toc201914674"/>
      <w:r>
        <w:rPr>
          <w:rFonts w:hint="eastAsia"/>
        </w:rPr>
        <w:br w:type="page"/>
      </w:r>
    </w:p>
    <w:p w14:paraId="4FB96FEA">
      <w:pPr>
        <w:pStyle w:val="2"/>
        <w:spacing w:before="48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9" w:type="default"/>
          <w:headerReference r:id="rId10" w:type="even"/>
          <w:pgSz w:w="11910" w:h="16840"/>
          <w:pgMar w:top="1134" w:right="1440" w:bottom="1134" w:left="1440" w:header="850" w:footer="850" w:gutter="0"/>
          <w:pgNumType w:start="1"/>
          <w:cols w:space="720" w:num="1"/>
          <w:docGrid w:linePitch="299" w:charSpace="0"/>
        </w:sectPr>
      </w:pPr>
    </w:p>
    <w:p w14:paraId="41CE26D5">
      <w:pPr>
        <w:pStyle w:val="2"/>
        <w:spacing w:before="48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总则</w:t>
      </w:r>
      <w:bookmarkEnd w:id="4"/>
      <w:bookmarkEnd w:id="5"/>
      <w:bookmarkEnd w:id="6"/>
      <w:bookmarkEnd w:id="7"/>
      <w:bookmarkEnd w:id="8"/>
    </w:p>
    <w:p w14:paraId="1CB49026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9" w:name="_Toc168661233"/>
      <w:bookmarkStart w:id="10" w:name="_Toc168658789"/>
      <w:r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规划目的</w:t>
      </w:r>
      <w:bookmarkEnd w:id="9"/>
      <w:bookmarkEnd w:id="10"/>
    </w:p>
    <w:p w14:paraId="560AC251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ind w:left="85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贯彻落实《中共中央国务院关于建立国土空间规划体系并监督实施的若干意见》和《自然资源部办公厅关于加强村庄规划促进乡村振兴的通知》，保障昌图县乡村振兴战略实施，加快农业农村现代化发展，提升乡村空间治</w:t>
      </w:r>
      <w:r>
        <w:rPr>
          <w:rFonts w:hint="eastAsia" w:ascii="仿宋" w:eastAsia="仿宋"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理能力，规范乡村地区规划建设管理。</w:t>
      </w:r>
    </w:p>
    <w:p w14:paraId="75CD8653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1" w:name="_Toc168658790"/>
      <w:bookmarkStart w:id="12" w:name="_Toc168661234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指导思想</w:t>
      </w:r>
      <w:bookmarkEnd w:id="11"/>
      <w:bookmarkEnd w:id="12"/>
    </w:p>
    <w:p w14:paraId="68A70361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以习近平新时代中国特色社会主义思想为指导，全面贯彻党的二十大精神，紧紧围绕统筹推进“五位一体”总体布局和协调推进“四个全面”战略布局，坚持新发展理念，坚持以人民为中心，坚持一切从实际出发，认识、尊重、顺应村庄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发展规律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  <w:bookmarkStart w:id="13" w:name="_Hlk181882122"/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落实党的二十届三中全会通过的</w:t>
      </w:r>
      <w:bookmarkStart w:id="14" w:name="_Hlk181882112"/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《中共中央关于进一步全面深化改革、推进中国式现代化的决定》</w:t>
      </w:r>
      <w:bookmarkEnd w:id="14"/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指导思想，全面提高城乡规划、建设、治理融合水平，促进城乡要素平等交换、双向流动，缩小城乡差别，促进城乡共同繁荣发展；</w:t>
      </w:r>
      <w:bookmarkEnd w:id="13"/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加快提高村庄各类用地利用效率，优化乡村空间布</w:t>
      </w:r>
      <w:r>
        <w:rPr>
          <w:color w:val="000000" w:themeColor="text1"/>
          <w:spacing w:val="-9"/>
          <w:lang w:eastAsia="zh-CN"/>
          <w14:textFill>
            <w14:solidFill>
              <w14:schemeClr w14:val="tx1"/>
            </w14:solidFill>
          </w14:textFill>
        </w:rPr>
        <w:t>局，同时推动城乡要素资源流动，助力昌图县乡村振兴发展。</w:t>
      </w:r>
    </w:p>
    <w:p w14:paraId="6A39895C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5" w:name="_Toc168658791"/>
      <w:bookmarkStart w:id="16" w:name="_Toc168661235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规划原则</w:t>
      </w:r>
      <w:bookmarkEnd w:id="15"/>
      <w:bookmarkEnd w:id="16"/>
    </w:p>
    <w:p w14:paraId="3C57888E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1.因地制宜，分类指导充分考虑村庄现实情况和未来发展诉求，根据上位规划总体要求，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作为整治提升类村庄进行编制，提高村庄规划的实用性。</w:t>
      </w:r>
    </w:p>
    <w:p w14:paraId="051E8C47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2.激发活力，促进发展挖掘乡村产业、文化、生态等资源要素，引导乡村经济发展，增加乡村“造血”功能，促进村庄整体提升。</w:t>
      </w:r>
    </w:p>
    <w:p w14:paraId="7FF8275A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3.保护资源，节约用地统筹保护好各类资源，切实保护耕地，确保粮食安全，合理利用非耕地进行建设用地布局，鼓励农村建设用地节约集约利用。</w:t>
      </w:r>
    </w:p>
    <w:p w14:paraId="6E0AA44C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4.生态优先，落实管控要始终贯彻生态、绿色、低碳的发展理念，节约集约利用土地、水、能源等资源，优先保护好各类生态要素，提高村庄规划的刚性约束能力和综合统筹能力，落实好、衔接好上级国土空间规划和各类专项规划等规划管控要求。</w:t>
      </w:r>
    </w:p>
    <w:p w14:paraId="294DFA83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5.传承文化、突出特色保护文化资源，修复特色风貌。传承村庄文化，延续传统特色，尊重本土民俗风情和生活习惯，营造舒适宁静的生产生活氛围。</w:t>
      </w:r>
    </w:p>
    <w:p w14:paraId="2F9033A8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7" w:name="_Toc168658792"/>
      <w:bookmarkStart w:id="18" w:name="_Toc168661236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规划依据</w:t>
      </w:r>
      <w:bookmarkEnd w:id="17"/>
      <w:bookmarkEnd w:id="18"/>
    </w:p>
    <w:p w14:paraId="4A1A731F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1.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法律法规</w:t>
      </w:r>
    </w:p>
    <w:p w14:paraId="73BF43DA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）《中华人民共和国城乡规划法》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(2019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年修正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)</w:t>
      </w:r>
    </w:p>
    <w:p w14:paraId="0B9AE900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）《中华人民共和国土地管理法》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(2019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年修正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)</w:t>
      </w:r>
    </w:p>
    <w:p w14:paraId="50E96091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spacing w:val="-2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）《中华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人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民共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和国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农业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法</w:t>
      </w:r>
      <w:r>
        <w:rPr>
          <w:color w:val="000000" w:themeColor="text1"/>
          <w:spacing w:val="-140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color w:val="000000" w:themeColor="text1"/>
          <w:spacing w:val="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spacing w:val="-2"/>
          <w:lang w:eastAsia="zh-CN"/>
          <w14:textFill>
            <w14:solidFill>
              <w14:schemeClr w14:val="tx1"/>
            </w14:solidFill>
          </w14:textFill>
        </w:rPr>
        <w:t>20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12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修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订版）</w:t>
      </w:r>
    </w:p>
    <w:p w14:paraId="242A8407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spacing w:val="-2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）《中华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人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民共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和国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乡村振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兴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促进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法</w:t>
      </w:r>
      <w:r>
        <w:rPr>
          <w:color w:val="000000" w:themeColor="text1"/>
          <w:spacing w:val="-140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color w:val="000000" w:themeColor="text1"/>
          <w:spacing w:val="-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cs="仿宋"/>
          <w:color w:val="000000" w:themeColor="text1"/>
          <w:spacing w:val="-2"/>
          <w:lang w:eastAsia="zh-CN"/>
          <w14:textFill>
            <w14:solidFill>
              <w14:schemeClr w14:val="tx1"/>
            </w14:solidFill>
          </w14:textFill>
        </w:rPr>
        <w:t>0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21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年）</w:t>
      </w:r>
    </w:p>
    <w:p w14:paraId="0E17C2DC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5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spacing w:val="-5"/>
          <w:lang w:eastAsia="zh-CN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:spacing w:val="-5"/>
          <w:lang w:eastAsia="zh-CN"/>
          <w14:textFill>
            <w14:solidFill>
              <w14:schemeClr w14:val="tx1"/>
            </w14:solidFill>
          </w14:textFill>
        </w:rPr>
        <w:t>）《中华人民共和国土地管理法实施条例》（</w:t>
      </w:r>
      <w:r>
        <w:rPr>
          <w:rFonts w:cs="仿宋"/>
          <w:color w:val="000000" w:themeColor="text1"/>
          <w:spacing w:val="-5"/>
          <w:lang w:eastAsia="zh-CN"/>
          <w14:textFill>
            <w14:solidFill>
              <w14:schemeClr w14:val="tx1"/>
            </w14:solidFill>
          </w14:textFill>
        </w:rPr>
        <w:t>2021</w:t>
      </w:r>
      <w:r>
        <w:rPr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  <w:t>年修订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版）</w:t>
      </w:r>
    </w:p>
    <w:p w14:paraId="409B1BE2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spacing w:val="-2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）《基本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农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田保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护条</w:t>
      </w:r>
      <w:r>
        <w:rPr>
          <w:color w:val="000000" w:themeColor="text1"/>
          <w:spacing w:val="1"/>
          <w:lang w:eastAsia="zh-CN"/>
          <w14:textFill>
            <w14:solidFill>
              <w14:schemeClr w14:val="tx1"/>
            </w14:solidFill>
          </w14:textFill>
        </w:rPr>
        <w:t>例</w:t>
      </w:r>
      <w:r>
        <w:rPr>
          <w:color w:val="000000" w:themeColor="text1"/>
          <w:spacing w:val="-140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spacing w:val="-2"/>
          <w:lang w:eastAsia="zh-CN"/>
          <w14:textFill>
            <w14:solidFill>
              <w14:schemeClr w14:val="tx1"/>
            </w14:solidFill>
          </w14:textFill>
        </w:rPr>
        <w:t>201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年修订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版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19897C27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2.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技术标准及规范</w:t>
      </w:r>
    </w:p>
    <w:p w14:paraId="4A6CAFD8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spacing w:val="-2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）《市级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国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土空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间总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体规划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制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图规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范（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试行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）》</w:t>
      </w:r>
      <w:r>
        <w:rPr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spacing w:val="-2"/>
          <w:lang w:eastAsia="zh-CN"/>
          <w14:textFill>
            <w14:solidFill>
              <w14:schemeClr w14:val="tx1"/>
            </w14:solidFill>
          </w14:textFill>
        </w:rPr>
        <w:t>202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月）</w:t>
      </w:r>
    </w:p>
    <w:p w14:paraId="46A2DCD7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spacing w:val="-2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）《国土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空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间用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途管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制数据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规范（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试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行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:spacing w:val="-140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:spacing w:val="-272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spacing w:val="-2"/>
          <w:lang w:eastAsia="zh-CN"/>
          <w14:textFill>
            <w14:solidFill>
              <w14:schemeClr w14:val="tx1"/>
            </w14:solidFill>
          </w14:textFill>
        </w:rPr>
        <w:t>20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21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7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月）</w:t>
      </w:r>
    </w:p>
    <w:p w14:paraId="70FF091B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spacing w:val="-8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pacing w:val="-8"/>
          <w:lang w:eastAsia="zh-CN"/>
          <w14:textFill>
            <w14:solidFill>
              <w14:schemeClr w14:val="tx1"/>
            </w14:solidFill>
          </w14:textFill>
        </w:rPr>
        <w:t>）《市县国土空间规划分区与用途分类指南（征求意见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稿）</w:t>
      </w:r>
      <w:r>
        <w:rPr>
          <w:color w:val="000000" w:themeColor="text1"/>
          <w:spacing w:val="-8"/>
          <w:lang w:eastAsia="zh-CN"/>
          <w14:textFill>
            <w14:solidFill>
              <w14:schemeClr w14:val="tx1"/>
            </w14:solidFill>
          </w14:textFill>
        </w:rPr>
        <w:t>》</w:t>
      </w:r>
    </w:p>
    <w:p w14:paraId="030D4B52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spacing w:val="-14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）《国土空间调查、规划、用途管制用地用海分类指南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（试行）</w:t>
      </w: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》（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2020</w:t>
      </w: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月）</w:t>
      </w:r>
    </w:p>
    <w:p w14:paraId="300F3BAB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spacing w:val="-2"/>
          <w:lang w:eastAsia="zh-CN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）《辽宁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省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村庄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规划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编制导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则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pacing w:val="-3"/>
          <w:lang w:val="en-US" w:eastAsia="zh-CN"/>
          <w14:textFill>
            <w14:solidFill>
              <w14:schemeClr w14:val="tx1"/>
            </w14:solidFill>
          </w14:textFill>
        </w:rPr>
        <w:t>试行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）》</w:t>
      </w:r>
    </w:p>
    <w:p w14:paraId="5370CF69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3.相关政策及规划</w:t>
      </w:r>
    </w:p>
    <w:p w14:paraId="5C6E5AA8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党的二十届三中全会《</w:t>
      </w:r>
      <w:bookmarkStart w:id="328" w:name="_GoBack"/>
      <w:bookmarkEnd w:id="328"/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中共中央关于进一步全面深化改革、推进中国式现代化的决定》</w:t>
      </w:r>
    </w:p>
    <w:p w14:paraId="29D1DA25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（2）</w:t>
      </w:r>
      <w:r>
        <w:rPr>
          <w:color w:val="000000" w:themeColor="text1"/>
          <w:spacing w:val="-4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中共中央</w:t>
      </w:r>
      <w:r>
        <w:rPr>
          <w:color w:val="000000" w:themeColor="text1"/>
          <w:spacing w:val="-4"/>
          <w:lang w:eastAsia="zh-CN"/>
          <w14:textFill>
            <w14:solidFill>
              <w14:schemeClr w14:val="tx1"/>
            </w14:solidFill>
          </w14:textFill>
        </w:rPr>
        <w:t>国务院关于全面推进乡村振兴加快农业农</w:t>
      </w:r>
      <w:r>
        <w:rPr>
          <w:color w:val="000000" w:themeColor="text1"/>
          <w:spacing w:val="-9"/>
          <w:lang w:eastAsia="zh-CN"/>
          <w14:textFill>
            <w14:solidFill>
              <w14:schemeClr w14:val="tx1"/>
            </w14:solidFill>
          </w14:textFill>
        </w:rPr>
        <w:t>村现代化的意见》（中发〔</w:t>
      </w:r>
      <w:r>
        <w:rPr>
          <w:rFonts w:cs="仿宋"/>
          <w:color w:val="000000" w:themeColor="text1"/>
          <w:spacing w:val="-9"/>
          <w:lang w:eastAsia="zh-CN"/>
          <w14:textFill>
            <w14:solidFill>
              <w14:schemeClr w14:val="tx1"/>
            </w14:solidFill>
          </w14:textFill>
        </w:rPr>
        <w:t>2021</w:t>
      </w:r>
      <w:r>
        <w:rPr>
          <w:color w:val="000000" w:themeColor="text1"/>
          <w:spacing w:val="-9"/>
          <w:lang w:eastAsia="zh-CN"/>
          <w14:textFill>
            <w14:solidFill>
              <w14:schemeClr w14:val="tx1"/>
            </w14:solidFill>
          </w14:textFill>
        </w:rPr>
        <w:t>〕</w:t>
      </w:r>
      <w:r>
        <w:rPr>
          <w:rFonts w:cs="仿宋"/>
          <w:color w:val="000000" w:themeColor="text1"/>
          <w:spacing w:val="-9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号）</w:t>
      </w:r>
    </w:p>
    <w:p w14:paraId="72AA7F9A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:spacing w:val="-4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中共中央</w:t>
      </w:r>
      <w:r>
        <w:rPr>
          <w:color w:val="000000" w:themeColor="text1"/>
          <w:spacing w:val="-4"/>
          <w:lang w:eastAsia="zh-CN"/>
          <w14:textFill>
            <w14:solidFill>
              <w14:schemeClr w14:val="tx1"/>
            </w14:solidFill>
          </w14:textFill>
        </w:rPr>
        <w:t>国务院关于建立国土空间规划体系并监督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实施的若干意见》中发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(2019)18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号</w:t>
      </w:r>
    </w:p>
    <w:p w14:paraId="11EE1FB3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3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仿宋"/>
          <w:color w:val="000000" w:themeColor="text1"/>
          <w:spacing w:val="3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pacing w:val="3"/>
          <w:lang w:eastAsia="zh-CN"/>
          <w14:textFill>
            <w14:solidFill>
              <w14:schemeClr w14:val="tx1"/>
            </w14:solidFill>
          </w14:textFill>
        </w:rPr>
        <w:t>）中央农办</w:t>
      </w:r>
      <w:r>
        <w:rPr>
          <w:color w:val="000000" w:themeColor="text1"/>
          <w:spacing w:val="6"/>
          <w:lang w:eastAsia="zh-CN"/>
          <w14:textFill>
            <w14:solidFill>
              <w14:schemeClr w14:val="tx1"/>
            </w14:solidFill>
          </w14:textFill>
        </w:rPr>
        <w:t>农业农村部自然资源部国家发展改革委</w:t>
      </w:r>
      <w:r>
        <w:rPr>
          <w:color w:val="000000" w:themeColor="text1"/>
          <w:spacing w:val="-8"/>
          <w:lang w:eastAsia="zh-CN"/>
          <w14:textFill>
            <w14:solidFill>
              <w14:schemeClr w14:val="tx1"/>
            </w14:solidFill>
          </w14:textFill>
        </w:rPr>
        <w:t>财政部《关于统筹推进村庄规划工作的意见》农规发</w:t>
      </w:r>
      <w:r>
        <w:rPr>
          <w:rFonts w:cs="仿宋"/>
          <w:color w:val="000000" w:themeColor="text1"/>
          <w:spacing w:val="-8"/>
          <w:lang w:eastAsia="zh-CN"/>
          <w14:textFill>
            <w14:solidFill>
              <w14:schemeClr w14:val="tx1"/>
            </w14:solidFill>
          </w14:textFill>
        </w:rPr>
        <w:t>[2019]1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号</w:t>
      </w:r>
    </w:p>
    <w:p w14:paraId="7742C71A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9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仿宋"/>
          <w:color w:val="000000" w:themeColor="text1"/>
          <w:spacing w:val="-9"/>
          <w:lang w:eastAsia="zh-CN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:spacing w:val="-9"/>
          <w:lang w:eastAsia="zh-CN"/>
          <w14:textFill>
            <w14:solidFill>
              <w14:schemeClr w14:val="tx1"/>
            </w14:solidFill>
          </w14:textFill>
        </w:rPr>
        <w:t>）国务院办公厅《关于促进乡村产业振兴的指导意见》国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发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[2019]12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号</w:t>
      </w:r>
    </w:p>
    <w:p w14:paraId="57DD2FAC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）自然资源部办公厅《关于加强村庄规划促进乡村振兴</w:t>
      </w:r>
      <w:r>
        <w:rPr>
          <w:color w:val="000000" w:themeColor="text1"/>
          <w:spacing w:val="-9"/>
          <w:lang w:eastAsia="zh-CN"/>
          <w14:textFill>
            <w14:solidFill>
              <w14:schemeClr w14:val="tx1"/>
            </w14:solidFill>
          </w14:textFill>
        </w:rPr>
        <w:t>的通知》（自然资办发</w:t>
      </w:r>
      <w:r>
        <w:rPr>
          <w:rFonts w:cs="仿宋"/>
          <w:color w:val="000000" w:themeColor="text1"/>
          <w:spacing w:val="-9"/>
          <w:lang w:eastAsia="zh-CN"/>
          <w14:textFill>
            <w14:solidFill>
              <w14:schemeClr w14:val="tx1"/>
            </w14:solidFill>
          </w14:textFill>
        </w:rPr>
        <w:t>[2019]35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号）</w:t>
      </w:r>
    </w:p>
    <w:p w14:paraId="5B7AC3CE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7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）自然资源部办公厅《关于进一步做好村庄规划工作的</w:t>
      </w:r>
      <w:r>
        <w:rPr>
          <w:color w:val="000000" w:themeColor="text1"/>
          <w:spacing w:val="-9"/>
          <w:lang w:eastAsia="zh-CN"/>
          <w14:textFill>
            <w14:solidFill>
              <w14:schemeClr w14:val="tx1"/>
            </w14:solidFill>
          </w14:textFill>
        </w:rPr>
        <w:t>意见》（自然资办发〔</w:t>
      </w:r>
      <w:r>
        <w:rPr>
          <w:rFonts w:cs="仿宋"/>
          <w:color w:val="000000" w:themeColor="text1"/>
          <w:spacing w:val="-9"/>
          <w:lang w:eastAsia="zh-CN"/>
          <w14:textFill>
            <w14:solidFill>
              <w14:schemeClr w14:val="tx1"/>
            </w14:solidFill>
          </w14:textFill>
        </w:rPr>
        <w:t>2020</w:t>
      </w:r>
      <w:r>
        <w:rPr>
          <w:color w:val="000000" w:themeColor="text1"/>
          <w:spacing w:val="-9"/>
          <w:lang w:eastAsia="zh-CN"/>
          <w14:textFill>
            <w14:solidFill>
              <w14:schemeClr w14:val="tx1"/>
            </w14:solidFill>
          </w14:textFill>
        </w:rPr>
        <w:t>〕</w:t>
      </w:r>
      <w:r>
        <w:rPr>
          <w:rFonts w:cs="仿宋"/>
          <w:color w:val="000000" w:themeColor="text1"/>
          <w:spacing w:val="-9"/>
          <w:lang w:eastAsia="zh-CN"/>
          <w14:textFill>
            <w14:solidFill>
              <w14:schemeClr w14:val="tx1"/>
            </w14:solidFill>
          </w14:textFill>
        </w:rPr>
        <w:t>57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号）</w:t>
      </w:r>
    </w:p>
    <w:p w14:paraId="0FB6AC60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8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）自然资源部《关于保障和规范农村一二三产业融合发</w:t>
      </w:r>
      <w:r>
        <w:rPr>
          <w:color w:val="000000" w:themeColor="text1"/>
          <w:spacing w:val="-8"/>
          <w:lang w:eastAsia="zh-CN"/>
          <w14:textFill>
            <w14:solidFill>
              <w14:schemeClr w14:val="tx1"/>
            </w14:solidFill>
          </w14:textFill>
        </w:rPr>
        <w:t>展用地的通知》（自然资发〔</w:t>
      </w:r>
      <w:r>
        <w:rPr>
          <w:rFonts w:cs="仿宋"/>
          <w:color w:val="000000" w:themeColor="text1"/>
          <w:spacing w:val="-8"/>
          <w:lang w:eastAsia="zh-CN"/>
          <w14:textFill>
            <w14:solidFill>
              <w14:schemeClr w14:val="tx1"/>
            </w14:solidFill>
          </w14:textFill>
        </w:rPr>
        <w:t>2021</w:t>
      </w:r>
      <w:r>
        <w:rPr>
          <w:color w:val="000000" w:themeColor="text1"/>
          <w:spacing w:val="-8"/>
          <w:lang w:eastAsia="zh-CN"/>
          <w14:textFill>
            <w14:solidFill>
              <w14:schemeClr w14:val="tx1"/>
            </w14:solidFill>
          </w14:textFill>
        </w:rPr>
        <w:t>〕</w:t>
      </w:r>
      <w:r>
        <w:rPr>
          <w:rFonts w:cs="仿宋"/>
          <w:color w:val="000000" w:themeColor="text1"/>
          <w:spacing w:val="-8"/>
          <w:lang w:eastAsia="zh-CN"/>
          <w14:textFill>
            <w14:solidFill>
              <w14:schemeClr w14:val="tx1"/>
            </w14:solidFill>
          </w14:textFill>
        </w:rPr>
        <w:t>16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号）</w:t>
      </w:r>
    </w:p>
    <w:p w14:paraId="6DFF9FFC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仿宋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9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）自然资源部《关于全面开展国土空间规划工作的通知》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自然资发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[2019]87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号</w:t>
      </w:r>
    </w:p>
    <w:p w14:paraId="02A980D5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10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）辽宁省《关于建立全省国土空间规划体系并监督实施</w:t>
      </w:r>
      <w:r>
        <w:rPr>
          <w:color w:val="000000" w:themeColor="text1"/>
          <w:spacing w:val="-10"/>
          <w:lang w:eastAsia="zh-CN"/>
          <w14:textFill>
            <w14:solidFill>
              <w14:schemeClr w14:val="tx1"/>
            </w14:solidFill>
          </w14:textFill>
        </w:rPr>
        <w:t>的意见》（辽委发〔</w:t>
      </w:r>
      <w:r>
        <w:rPr>
          <w:rFonts w:cs="仿宋"/>
          <w:color w:val="000000" w:themeColor="text1"/>
          <w:spacing w:val="-10"/>
          <w:lang w:eastAsia="zh-CN"/>
          <w14:textFill>
            <w14:solidFill>
              <w14:schemeClr w14:val="tx1"/>
            </w14:solidFill>
          </w14:textFill>
        </w:rPr>
        <w:t>2020</w:t>
      </w:r>
      <w:r>
        <w:rPr>
          <w:color w:val="000000" w:themeColor="text1"/>
          <w:spacing w:val="-10"/>
          <w:lang w:eastAsia="zh-CN"/>
          <w14:textFill>
            <w14:solidFill>
              <w14:schemeClr w14:val="tx1"/>
            </w14:solidFill>
          </w14:textFill>
        </w:rPr>
        <w:t>〕</w:t>
      </w:r>
      <w:r>
        <w:rPr>
          <w:rFonts w:cs="仿宋"/>
          <w:color w:val="000000" w:themeColor="text1"/>
          <w:spacing w:val="-10"/>
          <w:lang w:eastAsia="zh-CN"/>
          <w14:textFill>
            <w14:solidFill>
              <w14:schemeClr w14:val="tx1"/>
            </w14:solidFill>
          </w14:textFill>
        </w:rPr>
        <w:t>12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号）</w:t>
      </w:r>
    </w:p>
    <w:p w14:paraId="3BC02FA4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6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spacing w:val="6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仿宋"/>
          <w:color w:val="000000" w:themeColor="text1"/>
          <w:spacing w:val="6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pacing w:val="6"/>
          <w:lang w:eastAsia="zh-CN"/>
          <w14:textFill>
            <w14:solidFill>
              <w14:schemeClr w14:val="tx1"/>
            </w14:solidFill>
          </w14:textFill>
        </w:rPr>
        <w:t>）《辽宁省自然资源厅落实乡村振兴战略推进村庄规</w:t>
      </w:r>
      <w:r>
        <w:rPr>
          <w:color w:val="000000" w:themeColor="text1"/>
          <w:spacing w:val="-7"/>
          <w:lang w:eastAsia="zh-CN"/>
          <w14:textFill>
            <w14:solidFill>
              <w14:schemeClr w14:val="tx1"/>
            </w14:solidFill>
          </w14:textFill>
        </w:rPr>
        <w:t>划工作的实施方案》（辽自然资发</w:t>
      </w:r>
      <w:r>
        <w:rPr>
          <w:rFonts w:cs="仿宋"/>
          <w:color w:val="000000" w:themeColor="text1"/>
          <w:spacing w:val="-7"/>
          <w:lang w:eastAsia="zh-CN"/>
          <w14:textFill>
            <w14:solidFill>
              <w14:schemeClr w14:val="tx1"/>
            </w14:solidFill>
          </w14:textFill>
        </w:rPr>
        <w:t>[2019]48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号）</w:t>
      </w:r>
    </w:p>
    <w:p w14:paraId="56F06C43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spacing w:val="-2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仿宋"/>
          <w:color w:val="000000" w:themeColor="text1"/>
          <w:spacing w:val="-2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:spacing w:val="4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  <w:t>辽宁</w:t>
      </w:r>
      <w:r>
        <w:rPr>
          <w:color w:val="000000" w:themeColor="text1"/>
          <w:spacing w:val="4"/>
          <w:lang w:eastAsia="zh-CN"/>
          <w14:textFill>
            <w14:solidFill>
              <w14:schemeClr w14:val="tx1"/>
            </w14:solidFill>
          </w14:textFill>
        </w:rPr>
        <w:t>省</w:t>
      </w:r>
      <w:r>
        <w:rPr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  <w:t>村</w:t>
      </w:r>
      <w:r>
        <w:rPr>
          <w:color w:val="000000" w:themeColor="text1"/>
          <w:spacing w:val="4"/>
          <w:lang w:eastAsia="zh-CN"/>
          <w14:textFill>
            <w14:solidFill>
              <w14:schemeClr w14:val="tx1"/>
            </w14:solidFill>
          </w14:textFill>
        </w:rPr>
        <w:t>庄</w:t>
      </w:r>
      <w:r>
        <w:rPr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  <w:t>建设</w:t>
      </w:r>
      <w:r>
        <w:rPr>
          <w:color w:val="000000" w:themeColor="text1"/>
          <w:spacing w:val="4"/>
          <w:lang w:eastAsia="zh-CN"/>
          <w14:textFill>
            <w14:solidFill>
              <w14:schemeClr w14:val="tx1"/>
            </w14:solidFill>
          </w14:textFill>
        </w:rPr>
        <w:t>边</w:t>
      </w:r>
      <w:r>
        <w:rPr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  <w:t>界初</w:t>
      </w:r>
      <w:r>
        <w:rPr>
          <w:color w:val="000000" w:themeColor="text1"/>
          <w:spacing w:val="4"/>
          <w:lang w:eastAsia="zh-CN"/>
          <w14:textFill>
            <w14:solidFill>
              <w14:schemeClr w14:val="tx1"/>
            </w14:solidFill>
          </w14:textFill>
        </w:rPr>
        <w:t>划</w:t>
      </w:r>
      <w:r>
        <w:rPr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  <w:t>实</w:t>
      </w:r>
      <w:r>
        <w:rPr>
          <w:color w:val="000000" w:themeColor="text1"/>
          <w:spacing w:val="4"/>
          <w:lang w:eastAsia="zh-CN"/>
          <w14:textFill>
            <w14:solidFill>
              <w14:schemeClr w14:val="tx1"/>
            </w14:solidFill>
          </w14:textFill>
        </w:rPr>
        <w:t>施</w:t>
      </w:r>
      <w:r>
        <w:rPr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  <w:t>方</w:t>
      </w:r>
      <w:r>
        <w:rPr>
          <w:color w:val="000000" w:themeColor="text1"/>
          <w:spacing w:val="4"/>
          <w:lang w:eastAsia="zh-CN"/>
          <w14:textFill>
            <w14:solidFill>
              <w14:schemeClr w14:val="tx1"/>
            </w14:solidFill>
          </w14:textFill>
        </w:rPr>
        <w:t>案</w:t>
      </w:r>
      <w:r>
        <w:rPr>
          <w:color w:val="000000" w:themeColor="text1"/>
          <w:spacing w:val="-140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color w:val="000000" w:themeColor="text1"/>
          <w:spacing w:val="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  <w:t>辽自</w:t>
      </w:r>
      <w:r>
        <w:rPr>
          <w:color w:val="000000" w:themeColor="text1"/>
          <w:spacing w:val="4"/>
          <w:lang w:eastAsia="zh-CN"/>
          <w14:textFill>
            <w14:solidFill>
              <w14:schemeClr w14:val="tx1"/>
            </w14:solidFill>
          </w14:textFill>
        </w:rPr>
        <w:t>然</w:t>
      </w:r>
      <w:r>
        <w:rPr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  <w:t>资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发〔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2021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〕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29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号）</w:t>
      </w:r>
    </w:p>
    <w:p w14:paraId="60763455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）《辽宁省绿色建筑条例》</w:t>
      </w:r>
    </w:p>
    <w:p w14:paraId="26BA130B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9" w:name="_Toc168658794"/>
      <w:bookmarkStart w:id="20" w:name="_Toc168661238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规划范围</w:t>
      </w:r>
      <w:bookmarkEnd w:id="19"/>
      <w:bookmarkEnd w:id="20"/>
    </w:p>
    <w:p w14:paraId="4B796483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本次规划范围为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的行政辖区范围。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包括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拉拉屯自然村、东胜利自然村、王坤屯自然村、东沟自然村、陈家油坊村自然村、薛家屯自然村、赵阴阳自然村、鲁家屯自然村和泉窝自然村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1621543">
      <w:pPr>
        <w:spacing w:before="100" w:beforeAutospacing="1" w:after="100" w:afterAutospacing="1" w:line="360" w:lineRule="auto"/>
        <w:ind w:left="770" w:hanging="770" w:hangingChars="350"/>
        <w:contextualSpacing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sectPr>
          <w:type w:val="continuous"/>
          <w:pgSz w:w="11910" w:h="16840"/>
          <w:pgMar w:top="1134" w:right="1440" w:bottom="1134" w:left="1440" w:header="850" w:footer="850" w:gutter="0"/>
          <w:pgNumType w:start="1"/>
          <w:cols w:space="720" w:num="1"/>
          <w:docGrid w:linePitch="299" w:charSpace="0"/>
        </w:sectPr>
      </w:pPr>
    </w:p>
    <w:p w14:paraId="46357649">
      <w:pPr>
        <w:pStyle w:val="2"/>
        <w:spacing w:before="48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21" w:name="_bookmark1"/>
      <w:bookmarkEnd w:id="21"/>
      <w:bookmarkStart w:id="22" w:name="_Toc201914675"/>
      <w:bookmarkStart w:id="23" w:name="_Toc168500114"/>
      <w:bookmarkStart w:id="24" w:name="_Toc168490986"/>
      <w:bookmarkStart w:id="25" w:name="_Toc168661239"/>
      <w:bookmarkStart w:id="26" w:name="_Toc168658795"/>
      <w:r>
        <w:rPr>
          <w:color w:val="000000" w:themeColor="text1"/>
          <w14:textFill>
            <w14:solidFill>
              <w14:schemeClr w14:val="tx1"/>
            </w14:solidFill>
          </w14:textFill>
        </w:rPr>
        <w:t>发展目标定位</w:t>
      </w:r>
      <w:bookmarkEnd w:id="22"/>
      <w:bookmarkEnd w:id="23"/>
      <w:bookmarkEnd w:id="24"/>
      <w:bookmarkEnd w:id="25"/>
      <w:bookmarkEnd w:id="26"/>
    </w:p>
    <w:p w14:paraId="0C07B77F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7" w:name="_Toc168658796"/>
      <w:bookmarkStart w:id="28" w:name="_Toc168661240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规划目标</w:t>
      </w:r>
      <w:bookmarkEnd w:id="27"/>
      <w:bookmarkEnd w:id="28"/>
    </w:p>
    <w:p w14:paraId="1F1748F9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至规划期末，基于挖掘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村域资源，把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建成农业发展兴旺，公共服务设施完善，基础设施配套齐全，生活环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境优美的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生态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宜居乡村。</w:t>
      </w:r>
    </w:p>
    <w:p w14:paraId="5B573705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9" w:name="_Toc168658797"/>
      <w:bookmarkStart w:id="30" w:name="_Toc168661241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发展定位</w:t>
      </w:r>
      <w:bookmarkEnd w:id="29"/>
      <w:bookmarkEnd w:id="30"/>
    </w:p>
    <w:p w14:paraId="3BE6AE5B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将陈家油坊村定位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“老四平镇中部规模化种植与标准化养殖特色乡村”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1BBBB659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31" w:name="_Toc168661242"/>
      <w:bookmarkStart w:id="32" w:name="_Toc168658798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村庄类型</w:t>
      </w:r>
      <w:bookmarkEnd w:id="31"/>
      <w:bookmarkEnd w:id="32"/>
    </w:p>
    <w:p w14:paraId="0B4F2D48">
      <w:pPr>
        <w:pStyle w:val="6"/>
        <w:adjustRightInd w:val="0"/>
        <w:snapToGrid w:val="0"/>
        <w:spacing w:before="120" w:beforeLines="50" w:after="120" w:afterLines="50" w:line="360" w:lineRule="auto"/>
        <w:ind w:left="85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整治提升类村庄。</w:t>
      </w:r>
    </w:p>
    <w:p w14:paraId="1647BB99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33" w:name="_Toc168661244"/>
      <w:bookmarkStart w:id="34" w:name="_Toc168658800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规划指标</w:t>
      </w:r>
      <w:bookmarkEnd w:id="33"/>
      <w:bookmarkEnd w:id="34"/>
    </w:p>
    <w:p w14:paraId="58F48724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规划制定</w:t>
      </w:r>
      <w:r>
        <w:rPr>
          <w:color w:val="000000" w:themeColor="text1"/>
          <w:spacing w:val="-1"/>
          <w:lang w:eastAsia="zh-CN"/>
          <w14:textFill>
            <w14:solidFill>
              <w14:schemeClr w14:val="tx1"/>
            </w14:solidFill>
          </w14:textFill>
        </w:rPr>
        <w:t>控制指标</w:t>
      </w:r>
      <w:r>
        <w:rPr>
          <w:color w:val="000000" w:themeColor="text1"/>
          <w:spacing w:val="-13"/>
          <w:lang w:eastAsia="zh-CN"/>
          <w14:textFill>
            <w14:solidFill>
              <w14:schemeClr w14:val="tx1"/>
            </w14:solidFill>
          </w14:textFill>
        </w:rPr>
        <w:t>，用以管控</w:t>
      </w:r>
      <w:r>
        <w:rPr>
          <w:rFonts w:hint="eastAsia"/>
          <w:color w:val="000000" w:themeColor="text1"/>
          <w:spacing w:val="-13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spacing w:val="-13"/>
          <w:lang w:eastAsia="zh-CN"/>
          <w14:textFill>
            <w14:solidFill>
              <w14:schemeClr w14:val="tx1"/>
            </w14:solidFill>
          </w14:textFill>
        </w:rPr>
        <w:t>各</w:t>
      </w:r>
      <w:r>
        <w:rPr>
          <w:color w:val="000000" w:themeColor="text1"/>
          <w:spacing w:val="-5"/>
          <w:lang w:eastAsia="zh-CN"/>
          <w14:textFill>
            <w14:solidFill>
              <w14:schemeClr w14:val="tx1"/>
            </w14:solidFill>
          </w14:textFill>
        </w:rPr>
        <w:t>项村庄建设实施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约束性指标主要以建设用地指标不突破，不触碰永久基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本农田，保证耕地保有量等指标构成。</w:t>
      </w:r>
    </w:p>
    <w:p w14:paraId="246CD4AD">
      <w:pPr>
        <w:spacing w:before="100" w:beforeAutospacing="1" w:after="100" w:afterAutospacing="1" w:line="360" w:lineRule="auto"/>
        <w:ind w:left="770" w:hanging="770" w:hangingChars="350"/>
        <w:contextualSpacing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sectPr>
          <w:pgSz w:w="11910" w:h="16840"/>
          <w:pgMar w:top="1134" w:right="1440" w:bottom="1134" w:left="1440" w:header="850" w:footer="850" w:gutter="0"/>
          <w:cols w:space="720" w:num="1"/>
          <w:docGrid w:linePitch="299" w:charSpace="0"/>
        </w:sectPr>
      </w:pPr>
    </w:p>
    <w:p w14:paraId="3FAA82AA">
      <w:pPr>
        <w:pStyle w:val="2"/>
        <w:spacing w:before="48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35" w:name="_bookmark2"/>
      <w:bookmarkEnd w:id="35"/>
      <w:bookmarkStart w:id="36" w:name="_Toc168490987"/>
      <w:bookmarkStart w:id="37" w:name="_Toc168500115"/>
      <w:bookmarkStart w:id="38" w:name="_Toc168658801"/>
      <w:bookmarkStart w:id="39" w:name="_Toc201914676"/>
      <w:bookmarkStart w:id="40" w:name="_Toc168661245"/>
      <w:r>
        <w:rPr>
          <w:color w:val="000000" w:themeColor="text1"/>
          <w14:textFill>
            <w14:solidFill>
              <w14:schemeClr w14:val="tx1"/>
            </w14:solidFill>
          </w14:textFill>
        </w:rPr>
        <w:t>边界划定与管控</w:t>
      </w:r>
      <w:bookmarkEnd w:id="36"/>
      <w:bookmarkEnd w:id="37"/>
      <w:bookmarkEnd w:id="38"/>
      <w:bookmarkEnd w:id="39"/>
      <w:bookmarkEnd w:id="40"/>
    </w:p>
    <w:p w14:paraId="0B637BC4">
      <w:pPr>
        <w:pStyle w:val="4"/>
        <w:numPr>
          <w:ilvl w:val="1"/>
          <w:numId w:val="2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41" w:name="_bookmark3"/>
      <w:bookmarkEnd w:id="41"/>
      <w:bookmarkStart w:id="42" w:name="_Toc168658802"/>
      <w:bookmarkStart w:id="43" w:name="_Toc168490988"/>
      <w:bookmarkStart w:id="44" w:name="_Toc168500116"/>
      <w:bookmarkStart w:id="45" w:name="_Toc201914677"/>
      <w:bookmarkStart w:id="46" w:name="_Toc168661246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农业空间</w:t>
      </w:r>
      <w:bookmarkEnd w:id="42"/>
      <w:bookmarkEnd w:id="43"/>
      <w:bookmarkEnd w:id="44"/>
      <w:bookmarkEnd w:id="45"/>
      <w:bookmarkEnd w:id="46"/>
    </w:p>
    <w:p w14:paraId="25E6F756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47" w:name="_Toc168658804"/>
      <w:bookmarkStart w:id="48" w:name="_Toc168661248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一般农业空间</w:t>
      </w:r>
      <w:bookmarkEnd w:id="47"/>
      <w:bookmarkEnd w:id="48"/>
    </w:p>
    <w:p w14:paraId="28AB54CB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村域范围内划定一般农业空间。将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生态保护红线、永久基本农田和村庄建设边界范围外，三调认定为“林地（农业生产功能）、坑塘水面、农村道路、农业设施建设用地”等地类，划入一般农业空间。</w:t>
      </w:r>
    </w:p>
    <w:p w14:paraId="4FE0AC36">
      <w:pPr>
        <w:pStyle w:val="4"/>
        <w:numPr>
          <w:ilvl w:val="1"/>
          <w:numId w:val="2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49" w:name="_bookmark4"/>
      <w:bookmarkEnd w:id="49"/>
      <w:bookmarkStart w:id="50" w:name="_Toc168658805"/>
      <w:bookmarkStart w:id="51" w:name="_Toc168661249"/>
      <w:bookmarkStart w:id="52" w:name="_Toc168490989"/>
      <w:bookmarkStart w:id="53" w:name="_Toc201914678"/>
      <w:bookmarkStart w:id="54" w:name="_Toc168500117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生态空间</w:t>
      </w:r>
      <w:bookmarkEnd w:id="50"/>
      <w:bookmarkEnd w:id="51"/>
      <w:bookmarkEnd w:id="52"/>
      <w:bookmarkEnd w:id="53"/>
      <w:bookmarkEnd w:id="54"/>
    </w:p>
    <w:p w14:paraId="793B83DB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55" w:name="_Toc168658806"/>
      <w:bookmarkStart w:id="56" w:name="_Toc168661250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生态保护红线</w:t>
      </w:r>
      <w:bookmarkEnd w:id="55"/>
      <w:bookmarkEnd w:id="56"/>
    </w:p>
    <w:p w14:paraId="7B3E6C81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规划落实生态保护红线，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村域范围内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没有划定生态保护红线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24D58C1F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57" w:name="_Toc168661251"/>
      <w:bookmarkStart w:id="58" w:name="_Toc168658807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一般生态空间</w:t>
      </w:r>
      <w:bookmarkEnd w:id="57"/>
      <w:bookmarkEnd w:id="58"/>
    </w:p>
    <w:p w14:paraId="2F6D5376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一般生态空间主要分布于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村域范围内河流水域区域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。将生态保护红线、永久基本农田和村庄建设边界范围外，村域内重要的林地、草地、湿地、河流水域等划入一般生态空间，并在村域内实行重点保护。</w:t>
      </w:r>
    </w:p>
    <w:p w14:paraId="10279350">
      <w:pPr>
        <w:pStyle w:val="4"/>
        <w:numPr>
          <w:ilvl w:val="1"/>
          <w:numId w:val="2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59" w:name="_bookmark5"/>
      <w:bookmarkEnd w:id="59"/>
      <w:bookmarkStart w:id="60" w:name="_Toc168500118"/>
      <w:bookmarkStart w:id="61" w:name="_Toc168661252"/>
      <w:bookmarkStart w:id="62" w:name="_Toc168490990"/>
      <w:bookmarkStart w:id="63" w:name="_Toc201914679"/>
      <w:bookmarkStart w:id="64" w:name="_Toc168658808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建设空间</w:t>
      </w:r>
      <w:bookmarkEnd w:id="60"/>
      <w:bookmarkEnd w:id="61"/>
      <w:bookmarkEnd w:id="62"/>
      <w:bookmarkEnd w:id="63"/>
      <w:bookmarkEnd w:id="64"/>
    </w:p>
    <w:p w14:paraId="23B57066">
      <w:pPr>
        <w:pStyle w:val="5"/>
        <w:spacing w:line="360" w:lineRule="auto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65" w:name="_Toc168658812"/>
      <w:bookmarkStart w:id="66" w:name="_Toc168661256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边界管控规则</w:t>
      </w:r>
      <w:bookmarkEnd w:id="65"/>
      <w:bookmarkEnd w:id="66"/>
    </w:p>
    <w:p w14:paraId="02A5C7E2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1.边界内管理引导乡村建设行为向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村庄建设用地边界内集聚，边界内建设用地适用范围包括：农村宅基地，农村基础设施、公益事业设施和公共服务设施用地，农村人居环境整治项目用地，符合规定的农村一二三产业融合发展用地，符合国家“三农”政策的直接服务种植、电子商务、仓储保鲜冷链、产地低温直销配送等产业项目用地。</w:t>
      </w:r>
    </w:p>
    <w:p w14:paraId="2CF1DFE0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2.边界外管理</w:t>
      </w:r>
    </w:p>
    <w:p w14:paraId="562665C0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村庄建设项目原则上应集中在村庄建设边界内，在不占用永久基本农田、不突破国土空间规划建设用地指标等约束条件、不破坏生态环境和乡村风貌的前提下，利用农村本地资源开展农产品初加工、发展休闲观光旅游而必须的配套设施建设用地，可在村庄建设边界外安排少量“点状”建设用地；农村道路、电力、电讯等线性公益设施用地，以及殡葬等特殊用地可在边界外安排；符合空间用途管制规则和建设管控要求的可在边界外安排用地，项目确需建设的，可向昌图县国土空间规划主管部门申请使用机动指标。</w:t>
      </w:r>
    </w:p>
    <w:p w14:paraId="6B864D80">
      <w:pPr>
        <w:spacing w:before="100" w:beforeAutospacing="1" w:after="100" w:afterAutospacing="1" w:line="360" w:lineRule="auto"/>
        <w:ind w:left="770" w:hanging="770" w:hangingChars="350"/>
        <w:contextualSpacing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sectPr>
          <w:pgSz w:w="11910" w:h="16840"/>
          <w:pgMar w:top="1134" w:right="1440" w:bottom="1134" w:left="1440" w:header="850" w:footer="850" w:gutter="0"/>
          <w:cols w:space="720" w:num="1"/>
          <w:docGrid w:linePitch="299" w:charSpace="0"/>
        </w:sectPr>
      </w:pPr>
    </w:p>
    <w:p w14:paraId="7DC66BB5">
      <w:pPr>
        <w:pStyle w:val="2"/>
        <w:spacing w:before="48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67" w:name="_bookmark6"/>
      <w:bookmarkEnd w:id="67"/>
      <w:bookmarkStart w:id="68" w:name="_Toc168658813"/>
      <w:bookmarkStart w:id="69" w:name="_Toc168500119"/>
      <w:bookmarkStart w:id="70" w:name="_Toc168490991"/>
      <w:bookmarkStart w:id="71" w:name="_Toc201914680"/>
      <w:bookmarkStart w:id="72" w:name="_Toc168661257"/>
      <w:r>
        <w:rPr>
          <w:color w:val="000000" w:themeColor="text1"/>
          <w14:textFill>
            <w14:solidFill>
              <w14:schemeClr w14:val="tx1"/>
            </w14:solidFill>
          </w14:textFill>
        </w:rPr>
        <w:t>产业发展规划</w:t>
      </w:r>
      <w:bookmarkEnd w:id="68"/>
      <w:bookmarkEnd w:id="69"/>
      <w:bookmarkEnd w:id="70"/>
      <w:bookmarkEnd w:id="71"/>
      <w:bookmarkEnd w:id="72"/>
    </w:p>
    <w:p w14:paraId="401EF032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73" w:name="_Toc168661258"/>
      <w:bookmarkStart w:id="74" w:name="_Toc168658814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产业发展思路</w:t>
      </w:r>
      <w:bookmarkEnd w:id="73"/>
      <w:bookmarkEnd w:id="74"/>
    </w:p>
    <w:p w14:paraId="7DF1884D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规划以发展规模化设施农业为主导，同时夯实传统种养殖业。通过农家肥还田实现种养殖业循环发展，通过科学化和机械化的培育方式，提升种养殖业的产量。同时，依托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现有棚菜棚果种植基础，拓宽绿色农产品网络销售渠道。形成以生态绿色农业为支点，电子农业为杠杆的乡村产业振兴发展模式。</w:t>
      </w:r>
    </w:p>
    <w:p w14:paraId="3606DF85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75" w:name="_Toc168661259"/>
      <w:bookmarkStart w:id="76" w:name="_Toc168658815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第一产业发展</w:t>
      </w:r>
      <w:bookmarkEnd w:id="75"/>
      <w:bookmarkEnd w:id="76"/>
    </w:p>
    <w:p w14:paraId="40B9BA5F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第一产业主要发展生态种植业和养殖业。种植业方面：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以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玉米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种植为主，大力发展绿色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农产品种植</w:t>
      </w:r>
      <w:r>
        <w:rPr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  <w:t>，形成有机无公害农业发展模式。并通过育种、选种、</w:t>
      </w:r>
      <w:r>
        <w:rPr>
          <w:color w:val="000000" w:themeColor="text1"/>
          <w:spacing w:val="-9"/>
          <w:lang w:eastAsia="zh-CN"/>
          <w14:textFill>
            <w14:solidFill>
              <w14:schemeClr w14:val="tx1"/>
            </w14:solidFill>
          </w14:textFill>
        </w:rPr>
        <w:t>改善光照条件、加大农业机械化使用等手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段，增加农业产量，提升农民收入。设施农业方面：增加种植品类，提升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农产品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产出效益，拓展销售渠道，提升设施农业发展的可持续性。养殖业方面：以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牛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猪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等养殖业为主，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培育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特色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农畜品种养殖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。利用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农畜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养殖粪便用作农家肥还田，打造循环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农业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302FAC2C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77" w:name="_Toc168661260"/>
      <w:bookmarkStart w:id="78" w:name="_Toc168658816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第三产业发展</w:t>
      </w:r>
      <w:bookmarkEnd w:id="77"/>
      <w:bookmarkEnd w:id="78"/>
    </w:p>
    <w:p w14:paraId="2FECEFC6">
      <w:pPr>
        <w:pStyle w:val="6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规划以丰富的农业资源为依托，利用良好的交通条件，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与外部企业建立农业合作关系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。同时结合网络平台销售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丰富农产品销售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方式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2FB745F7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79" w:name="_Toc168658817"/>
      <w:bookmarkStart w:id="80" w:name="_Toc168661261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产业空间布局</w:t>
      </w:r>
      <w:bookmarkEnd w:id="79"/>
      <w:bookmarkEnd w:id="80"/>
    </w:p>
    <w:p w14:paraId="2503CFB3">
      <w:pPr>
        <w:pStyle w:val="6"/>
        <w:adjustRightInd w:val="0"/>
        <w:snapToGrid w:val="0"/>
        <w:spacing w:before="120" w:before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规划在形成“一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轴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、三区”的产业空间布局。</w:t>
      </w:r>
    </w:p>
    <w:p w14:paraId="1E43DDFF">
      <w:pPr>
        <w:pStyle w:val="6"/>
        <w:adjustRightInd w:val="0"/>
        <w:snapToGrid w:val="0"/>
        <w:spacing w:before="120" w:before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轴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：即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村庄产业发展轴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2CA83C8E">
      <w:pPr>
        <w:pStyle w:val="6"/>
        <w:adjustRightInd w:val="0"/>
        <w:snapToGrid w:val="0"/>
        <w:spacing w:before="120" w:before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eastAsia="zh-CN"/>
          <w14:textFill>
            <w14:solidFill>
              <w14:schemeClr w14:val="tx1"/>
            </w14:solidFill>
          </w14:textFill>
        </w:rPr>
        <w:t>三</w:t>
      </w:r>
      <w:r>
        <w:rPr>
          <w:color w:val="000000" w:themeColor="text1"/>
          <w:spacing w:val="-1"/>
          <w:lang w:eastAsia="zh-CN"/>
          <w14:textFill>
            <w14:solidFill>
              <w14:schemeClr w14:val="tx1"/>
            </w14:solidFill>
          </w14:textFill>
        </w:rPr>
        <w:t>区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color w:val="000000" w:themeColor="text1"/>
          <w:spacing w:val="-1"/>
          <w:lang w:eastAsia="zh-CN"/>
          <w14:textFill>
            <w14:solidFill>
              <w14:schemeClr w14:val="tx1"/>
            </w14:solidFill>
          </w14:textFill>
        </w:rPr>
        <w:t>即</w:t>
      </w:r>
      <w:r>
        <w:rPr>
          <w:rFonts w:hint="eastAsia"/>
          <w:color w:val="000000" w:themeColor="text1"/>
          <w:spacing w:val="-1"/>
          <w:lang w:eastAsia="zh-CN"/>
          <w14:textFill>
            <w14:solidFill>
              <w14:schemeClr w14:val="tx1"/>
            </w14:solidFill>
          </w14:textFill>
        </w:rPr>
        <w:t>综合发展区、粮食种植区和产业发展区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4D27E0E9">
      <w:pPr>
        <w:pStyle w:val="6"/>
        <w:adjustRightInd w:val="0"/>
        <w:snapToGrid w:val="0"/>
        <w:spacing w:before="120" w:before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综合发展区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以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的宅基地空间为主，重点通过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村庄整治提升建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设，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配套农业服务设施，完善村庄基础设施，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完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善污水排放、垃圾综合整治、环境提升等工程。</w:t>
      </w:r>
    </w:p>
    <w:p w14:paraId="0DEC35DF">
      <w:pPr>
        <w:pStyle w:val="6"/>
        <w:adjustRightInd w:val="0"/>
        <w:snapToGrid w:val="0"/>
        <w:spacing w:before="120" w:beforeLines="50" w:line="360" w:lineRule="auto"/>
        <w:ind w:left="1021"/>
        <w:jc w:val="both"/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2.粮食种植区</w:t>
      </w:r>
    </w:p>
    <w:p w14:paraId="39DB5CB7">
      <w:pPr>
        <w:pStyle w:val="6"/>
        <w:adjustRightInd w:val="0"/>
        <w:snapToGrid w:val="0"/>
        <w:spacing w:before="120" w:before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优化农业废弃物高效循环再利用，提高陈家油坊村粮食种植业质量，促进循环农业发展，打造区域籽粒玉米标准化生产示范标杆。</w:t>
      </w:r>
    </w:p>
    <w:p w14:paraId="4FA20927">
      <w:pPr>
        <w:pStyle w:val="6"/>
        <w:adjustRightInd w:val="0"/>
        <w:snapToGrid w:val="0"/>
        <w:spacing w:before="120" w:beforeLines="50" w:line="360" w:lineRule="auto"/>
        <w:ind w:left="1021"/>
        <w:jc w:val="both"/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3.产业发展区</w:t>
      </w:r>
    </w:p>
    <w:p w14:paraId="7E89DB51">
      <w:pPr>
        <w:pStyle w:val="6"/>
        <w:adjustRightInd w:val="0"/>
        <w:snapToGrid w:val="0"/>
        <w:spacing w:before="120" w:beforeLines="50" w:line="360" w:lineRule="auto"/>
        <w:ind w:left="1021"/>
        <w:jc w:val="both"/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结合村庄农业，提供相应农业的配套服务，发展养殖饲料初加工，农产品初加工等产业，规划形成新的产业区。</w:t>
      </w:r>
    </w:p>
    <w:p w14:paraId="1777D85A">
      <w:pPr>
        <w:spacing w:before="100" w:beforeAutospacing="1" w:after="100" w:afterAutospacing="1" w:line="360" w:lineRule="auto"/>
        <w:ind w:left="770" w:hanging="770" w:hangingChars="350"/>
        <w:contextualSpacing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 w14:paraId="0A7069F5">
      <w:pPr>
        <w:spacing w:before="100" w:beforeAutospacing="1" w:after="100" w:afterAutospacing="1" w:line="360" w:lineRule="auto"/>
        <w:ind w:left="770" w:hanging="770" w:hangingChars="350"/>
        <w:contextualSpacing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sectPr>
          <w:footerReference r:id="rId11" w:type="default"/>
          <w:footerReference r:id="rId12" w:type="even"/>
          <w:pgSz w:w="11910" w:h="16840"/>
          <w:pgMar w:top="1134" w:right="1440" w:bottom="1134" w:left="1440" w:header="850" w:footer="850" w:gutter="0"/>
          <w:cols w:space="720" w:num="1"/>
          <w:docGrid w:linePitch="299" w:charSpace="0"/>
        </w:sectPr>
      </w:pPr>
    </w:p>
    <w:p w14:paraId="77A78110">
      <w:pPr>
        <w:pStyle w:val="2"/>
        <w:spacing w:before="480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81" w:name="_bookmark7"/>
      <w:bookmarkEnd w:id="81"/>
      <w:bookmarkStart w:id="82" w:name="_Toc168490992"/>
      <w:bookmarkStart w:id="83" w:name="_Toc168661262"/>
      <w:bookmarkStart w:id="84" w:name="_Toc168658818"/>
      <w:bookmarkStart w:id="85" w:name="_Toc168500120"/>
      <w:bookmarkStart w:id="86" w:name="_Toc201914681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用地布局规划</w:t>
      </w:r>
      <w:bookmarkEnd w:id="82"/>
      <w:bookmarkEnd w:id="83"/>
      <w:bookmarkEnd w:id="84"/>
      <w:bookmarkEnd w:id="85"/>
      <w:bookmarkEnd w:id="86"/>
    </w:p>
    <w:p w14:paraId="700F2989">
      <w:pPr>
        <w:pStyle w:val="4"/>
        <w:numPr>
          <w:ilvl w:val="1"/>
          <w:numId w:val="4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87" w:name="_bookmark8"/>
      <w:bookmarkEnd w:id="87"/>
      <w:bookmarkStart w:id="88" w:name="_Toc168490993"/>
      <w:bookmarkStart w:id="89" w:name="_Toc168661263"/>
      <w:bookmarkStart w:id="90" w:name="_Toc168658819"/>
      <w:bookmarkStart w:id="91" w:name="_Toc201914682"/>
      <w:bookmarkStart w:id="92" w:name="_Toc168500121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建设用地规划</w:t>
      </w:r>
      <w:bookmarkEnd w:id="88"/>
      <w:bookmarkEnd w:id="89"/>
      <w:bookmarkEnd w:id="90"/>
      <w:bookmarkEnd w:id="91"/>
      <w:bookmarkEnd w:id="92"/>
    </w:p>
    <w:p w14:paraId="10B96E2D">
      <w:pPr>
        <w:pStyle w:val="5"/>
        <w:adjustRightInd w:val="0"/>
        <w:snapToGrid w:val="0"/>
        <w:spacing w:before="100" w:beforeAutospacing="1" w:after="100" w:afterAutospacing="1" w:line="360" w:lineRule="auto"/>
        <w:ind w:left="851" w:hanging="851"/>
        <w:jc w:val="both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93" w:name="_Toc168661264"/>
      <w:bookmarkStart w:id="94" w:name="_Toc168658820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规划建设用地包括村庄用地、区域基础设施用地和其他建设用地。主要包括农村宅基地、农村社区服务设施用地、</w:t>
      </w:r>
      <w:r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公共管理与公共服务用地、仓储用地、城镇村</w:t>
      </w:r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道路用地</w:t>
      </w:r>
      <w:bookmarkEnd w:id="93"/>
      <w:bookmarkEnd w:id="94"/>
      <w:r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34C45C23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95" w:name="_Toc168658821"/>
      <w:bookmarkStart w:id="96" w:name="_Toc168661265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农村宅基地</w:t>
      </w:r>
      <w:bookmarkEnd w:id="95"/>
      <w:bookmarkEnd w:id="96"/>
    </w:p>
    <w:p w14:paraId="2735519A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结合村庄布局现状、村庄户数及人口规模、宅基地面积标准等因素合理划定村庄宅基地范围，严格落实“一户一宅”。</w:t>
      </w:r>
    </w:p>
    <w:p w14:paraId="43883B2A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综合分析自然村人口规模、发展水平、空心化程度等要素充，确定自然村分型：陈家油坊自然村、</w:t>
      </w: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拉拉屯自然村、东胜利自然村、王坤屯自然村、东沟自然村、赵阴阳自然村、鲁家屯自然村和泉窝自然村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为等量型，</w:t>
      </w: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薛家屯自然村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为减量型。</w:t>
      </w:r>
    </w:p>
    <w:p w14:paraId="5C529944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97" w:name="_Toc168658822"/>
      <w:bookmarkStart w:id="98" w:name="_Toc168661266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农村社区服务设施用地</w:t>
      </w:r>
      <w:bookmarkEnd w:id="97"/>
      <w:bookmarkEnd w:id="98"/>
    </w:p>
    <w:p w14:paraId="67CEABD4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规划保留现状农村社区服务设施用地。</w:t>
      </w:r>
    </w:p>
    <w:p w14:paraId="34C66F69">
      <w:pPr>
        <w:spacing w:before="100" w:beforeAutospacing="1" w:after="100" w:afterAutospacing="1" w:line="360" w:lineRule="auto"/>
        <w:ind w:left="770" w:hanging="770" w:hangingChars="350"/>
        <w:contextualSpacing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sectPr>
          <w:footerReference r:id="rId13" w:type="default"/>
          <w:footerReference r:id="rId14" w:type="even"/>
          <w:pgSz w:w="11910" w:h="16840"/>
          <w:pgMar w:top="1134" w:right="1440" w:bottom="1134" w:left="1440" w:header="850" w:footer="850" w:gutter="0"/>
          <w:cols w:space="720" w:num="1"/>
          <w:docGrid w:linePitch="299" w:charSpace="0"/>
        </w:sectPr>
      </w:pPr>
      <w:bookmarkStart w:id="99" w:name="_bookmark9"/>
      <w:bookmarkEnd w:id="99"/>
      <w:bookmarkStart w:id="100" w:name="_bookmark10"/>
      <w:bookmarkEnd w:id="100"/>
    </w:p>
    <w:p w14:paraId="12C0C21F">
      <w:pPr>
        <w:pStyle w:val="2"/>
        <w:spacing w:before="48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101" w:name="_bookmark11"/>
      <w:bookmarkEnd w:id="101"/>
      <w:bookmarkStart w:id="102" w:name="_Toc168500124"/>
      <w:bookmarkStart w:id="103" w:name="_Toc168661283"/>
      <w:bookmarkStart w:id="104" w:name="_Toc168658839"/>
      <w:bookmarkStart w:id="105" w:name="_Toc168490996"/>
      <w:bookmarkStart w:id="106" w:name="_Toc201914683"/>
      <w:r>
        <w:rPr>
          <w:color w:val="000000" w:themeColor="text1"/>
          <w14:textFill>
            <w14:solidFill>
              <w14:schemeClr w14:val="tx1"/>
            </w14:solidFill>
          </w14:textFill>
        </w:rPr>
        <w:t>公共服务设施规划</w:t>
      </w:r>
      <w:bookmarkEnd w:id="102"/>
      <w:bookmarkEnd w:id="103"/>
      <w:bookmarkEnd w:id="104"/>
      <w:bookmarkEnd w:id="105"/>
      <w:bookmarkEnd w:id="106"/>
    </w:p>
    <w:p w14:paraId="07E3D271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07" w:name="_Toc168658840"/>
      <w:bookmarkStart w:id="108" w:name="_Toc168661284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管理设施规划</w:t>
      </w:r>
      <w:bookmarkEnd w:id="107"/>
      <w:bookmarkEnd w:id="108"/>
    </w:p>
    <w:p w14:paraId="4A0CEED9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规划保留位于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村委会，作为村庄居民生产、生活的组</w:t>
      </w:r>
      <w:r>
        <w:rPr>
          <w:color w:val="000000" w:themeColor="text1"/>
          <w:spacing w:val="-14"/>
          <w:lang w:eastAsia="zh-CN"/>
          <w14:textFill>
            <w14:solidFill>
              <w14:schemeClr w14:val="tx1"/>
            </w14:solidFill>
          </w14:textFill>
        </w:rPr>
        <w:t>织管理机构，村委会内现已有村务室、卫生室、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文化活动室、农家书屋和健身广场等公共服务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设施。</w:t>
      </w:r>
    </w:p>
    <w:p w14:paraId="6D33E4B4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09" w:name="_Toc168658841"/>
      <w:bookmarkStart w:id="110" w:name="_Toc168661285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商业设施规划</w:t>
      </w:r>
      <w:bookmarkEnd w:id="109"/>
      <w:bookmarkEnd w:id="110"/>
    </w:p>
    <w:p w14:paraId="7AD9C07A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规划保留现有便民商店，结合村委会布局快递投放点，便于村民收发快递。</w:t>
      </w:r>
    </w:p>
    <w:p w14:paraId="0DC0C882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充电桩规划</w:t>
      </w:r>
    </w:p>
    <w:p w14:paraId="37D8D9ED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为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推进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分布式新能源发展，加强新能源汽车充换电设施规划建设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支持在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乡村文化广场、健身广场、物流基地和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农机综合服务站等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项目内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配建公共充电设施。</w:t>
      </w:r>
    </w:p>
    <w:p w14:paraId="5D8D3896">
      <w:pPr>
        <w:pStyle w:val="6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</w:p>
    <w:p w14:paraId="1204C7F4">
      <w:pPr>
        <w:spacing w:before="100" w:beforeAutospacing="1" w:after="100" w:afterAutospacing="1" w:line="360" w:lineRule="auto"/>
        <w:ind w:left="770" w:hanging="770" w:hangingChars="350"/>
        <w:contextualSpacing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sectPr>
          <w:pgSz w:w="11910" w:h="16840"/>
          <w:pgMar w:top="1134" w:right="1440" w:bottom="1134" w:left="1440" w:header="850" w:footer="850" w:gutter="0"/>
          <w:cols w:space="720" w:num="1"/>
          <w:docGrid w:linePitch="299" w:charSpace="0"/>
        </w:sectPr>
      </w:pPr>
    </w:p>
    <w:p w14:paraId="758D186D">
      <w:pPr>
        <w:pStyle w:val="2"/>
        <w:spacing w:before="48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111" w:name="_bookmark12"/>
      <w:bookmarkEnd w:id="111"/>
      <w:bookmarkStart w:id="112" w:name="_Toc168490997"/>
      <w:bookmarkStart w:id="113" w:name="_Toc168661290"/>
      <w:bookmarkStart w:id="114" w:name="_Toc168658846"/>
      <w:bookmarkStart w:id="115" w:name="_Toc201914684"/>
      <w:bookmarkStart w:id="116" w:name="_Toc168500125"/>
      <w:r>
        <w:rPr>
          <w:color w:val="000000" w:themeColor="text1"/>
          <w14:textFill>
            <w14:solidFill>
              <w14:schemeClr w14:val="tx1"/>
            </w14:solidFill>
          </w14:textFill>
        </w:rPr>
        <w:t>基础设施规划</w:t>
      </w:r>
      <w:bookmarkEnd w:id="112"/>
      <w:bookmarkEnd w:id="113"/>
      <w:bookmarkEnd w:id="114"/>
      <w:bookmarkEnd w:id="115"/>
      <w:bookmarkEnd w:id="116"/>
    </w:p>
    <w:p w14:paraId="40EF003D">
      <w:pPr>
        <w:pStyle w:val="4"/>
        <w:numPr>
          <w:ilvl w:val="1"/>
          <w:numId w:val="5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17" w:name="_bookmark13"/>
      <w:bookmarkEnd w:id="117"/>
      <w:bookmarkStart w:id="118" w:name="_Toc168490998"/>
      <w:bookmarkStart w:id="119" w:name="_Toc168661291"/>
      <w:bookmarkStart w:id="120" w:name="_Toc201914685"/>
      <w:bookmarkStart w:id="121" w:name="_Toc168658847"/>
      <w:bookmarkStart w:id="122" w:name="_Toc168500126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道路系统规划</w:t>
      </w:r>
      <w:bookmarkEnd w:id="118"/>
      <w:bookmarkEnd w:id="119"/>
      <w:bookmarkEnd w:id="120"/>
      <w:bookmarkEnd w:id="121"/>
      <w:bookmarkEnd w:id="122"/>
    </w:p>
    <w:p w14:paraId="2BE8FAB4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23" w:name="_Toc168661292"/>
      <w:bookmarkStart w:id="124" w:name="_Toc168658848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对外交通规划</w:t>
      </w:r>
      <w:bookmarkEnd w:id="123"/>
      <w:bookmarkEnd w:id="124"/>
    </w:p>
    <w:p w14:paraId="23E69D5D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村庄主要对外交通道路为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老老线县道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，南北向纵贯村庄，向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北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可达到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老四平镇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政府驻地，向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南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连接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鴜鹭树镇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612FC7AF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25" w:name="_Toc168658849"/>
      <w:bookmarkStart w:id="126" w:name="_Toc168661293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道路等级规划</w:t>
      </w:r>
      <w:bookmarkEnd w:id="125"/>
      <w:bookmarkEnd w:id="126"/>
    </w:p>
    <w:p w14:paraId="010C68AF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规划村庄道路共分为两个级别，为干路和支路。</w:t>
      </w:r>
    </w:p>
    <w:p w14:paraId="51039B1F">
      <w:pPr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规划村庄干路、支路均为沥青路面。干路两侧行道树植株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可不设树池，树木间可种植低矮灌木。</w:t>
      </w:r>
    </w:p>
    <w:p w14:paraId="1262DAEB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27" w:name="_Toc168661294"/>
      <w:bookmarkStart w:id="128" w:name="_Toc168658850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附属设施规划</w:t>
      </w:r>
      <w:bookmarkEnd w:id="127"/>
      <w:bookmarkEnd w:id="128"/>
    </w:p>
    <w:p w14:paraId="2E8724C8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边沟</w:t>
      </w:r>
    </w:p>
    <w:p w14:paraId="119AE407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规划村庄内新修建道路边沟均为暗排边沟，现状明排边沟逐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渐整修为暗排边沟。</w:t>
      </w:r>
    </w:p>
    <w:p w14:paraId="65A5097D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2. 公交站点</w:t>
      </w:r>
    </w:p>
    <w:p w14:paraId="3928C865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规划在村委会北侧路旁规划一处公交站点，为村民日常出行提供交通便利。</w:t>
      </w:r>
    </w:p>
    <w:p w14:paraId="2EAD4260">
      <w:pPr>
        <w:spacing w:before="100" w:beforeAutospacing="1" w:after="100" w:afterAutospacing="1" w:line="360" w:lineRule="auto"/>
        <w:ind w:left="770" w:hanging="770" w:hangingChars="350"/>
        <w:contextualSpacing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sectPr>
          <w:pgSz w:w="11910" w:h="16840"/>
          <w:pgMar w:top="1134" w:right="1440" w:bottom="1134" w:left="1440" w:header="850" w:footer="850" w:gutter="0"/>
          <w:cols w:space="720" w:num="1"/>
          <w:docGrid w:linePitch="299" w:charSpace="0"/>
        </w:sectPr>
      </w:pPr>
    </w:p>
    <w:p w14:paraId="6F2BD234">
      <w:pPr>
        <w:pStyle w:val="4"/>
        <w:numPr>
          <w:ilvl w:val="1"/>
          <w:numId w:val="5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29" w:name="_bookmark14"/>
      <w:bookmarkEnd w:id="129"/>
      <w:bookmarkStart w:id="130" w:name="_Toc168661296"/>
      <w:bookmarkStart w:id="131" w:name="_Toc168500127"/>
      <w:bookmarkStart w:id="132" w:name="_Toc201914686"/>
      <w:bookmarkStart w:id="133" w:name="_Toc168658852"/>
      <w:bookmarkStart w:id="134" w:name="_Toc168490999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给水工程规划</w:t>
      </w:r>
      <w:bookmarkEnd w:id="130"/>
      <w:bookmarkEnd w:id="131"/>
      <w:bookmarkEnd w:id="132"/>
      <w:bookmarkEnd w:id="133"/>
      <w:bookmarkEnd w:id="134"/>
    </w:p>
    <w:p w14:paraId="0243DC50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35" w:name="_Toc168661298"/>
      <w:bookmarkStart w:id="136" w:name="_Toc168658854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水源规划</w:t>
      </w:r>
      <w:bookmarkEnd w:id="135"/>
      <w:bookmarkEnd w:id="136"/>
    </w:p>
    <w:p w14:paraId="00678CBC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  <w:t>陈家油坊村统一规划集中供水，水源引自水源井</w:t>
      </w:r>
      <w:r>
        <w:rPr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  <w:t>，由供水管道对村民进行供给。</w:t>
      </w:r>
    </w:p>
    <w:p w14:paraId="1F8EA719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37" w:name="_Toc168661299"/>
      <w:bookmarkStart w:id="138" w:name="_Toc168658855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给水管道规划</w:t>
      </w:r>
      <w:bookmarkEnd w:id="137"/>
      <w:bookmarkEnd w:id="138"/>
    </w:p>
    <w:p w14:paraId="3EAD274B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  <w:t>规划给水管道为枝状和环状结合布局形式，为满足消防需要，在给水干管上设置消火栓。</w:t>
      </w:r>
    </w:p>
    <w:p w14:paraId="13C94130">
      <w:pPr>
        <w:pStyle w:val="4"/>
        <w:numPr>
          <w:ilvl w:val="1"/>
          <w:numId w:val="5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39" w:name="_bookmark15"/>
      <w:bookmarkEnd w:id="139"/>
      <w:bookmarkStart w:id="140" w:name="_Toc168500128"/>
      <w:bookmarkStart w:id="141" w:name="_Toc168661300"/>
      <w:bookmarkStart w:id="142" w:name="_Toc201914687"/>
      <w:bookmarkStart w:id="143" w:name="_Toc168491000"/>
      <w:bookmarkStart w:id="144" w:name="_Toc168658856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排水工程规划</w:t>
      </w:r>
      <w:bookmarkEnd w:id="140"/>
      <w:bookmarkEnd w:id="141"/>
      <w:bookmarkEnd w:id="142"/>
      <w:bookmarkEnd w:id="143"/>
      <w:bookmarkEnd w:id="144"/>
    </w:p>
    <w:p w14:paraId="2AD69938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45" w:name="_Toc168658857"/>
      <w:bookmarkStart w:id="146" w:name="_Toc168661301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排水体制</w:t>
      </w:r>
      <w:bookmarkEnd w:id="145"/>
      <w:bookmarkEnd w:id="146"/>
    </w:p>
    <w:p w14:paraId="05C0B777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2"/>
          <w:lang w:eastAsia="zh-CN"/>
          <w14:textFill>
            <w14:solidFill>
              <w14:schemeClr w14:val="tx1"/>
            </w14:solidFill>
          </w14:textFill>
        </w:rPr>
        <w:t>规划采用雨污分流制。</w:t>
      </w:r>
    </w:p>
    <w:p w14:paraId="4D4AF399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47" w:name="_Toc168661302"/>
      <w:bookmarkStart w:id="148" w:name="_Toc168658858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雨水系统</w:t>
      </w:r>
      <w:bookmarkEnd w:id="147"/>
      <w:bookmarkEnd w:id="148"/>
    </w:p>
    <w:p w14:paraId="4F70043B">
      <w:pPr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规划村庄采用</w:t>
      </w:r>
      <w:r>
        <w:rPr>
          <w:rFonts w:hint="eastAsia" w:ascii="仿宋" w:hAnsi="仿宋" w:eastAsia="仿宋" w:cs="仿宋"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暗渠</w:t>
      </w:r>
      <w:r>
        <w:rPr>
          <w:rFonts w:ascii="仿宋" w:hAnsi="仿宋" w:eastAsia="仿宋" w:cs="仿宋"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边沟排水，村庄建设用地的内部根据地块排水</w:t>
      </w:r>
      <w:r>
        <w:rPr>
          <w:rFonts w:ascii="仿宋" w:hAnsi="仿宋" w:eastAsia="仿宋" w:cs="仿宋"/>
          <w:color w:val="000000" w:themeColor="text1"/>
          <w:spacing w:val="-4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方向</w:t>
      </w:r>
      <w:r>
        <w:rPr>
          <w:rFonts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。村庄雨水经村内边沟汇集后排放至沟渠及氧化塘。</w:t>
      </w:r>
    </w:p>
    <w:p w14:paraId="175F287F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49" w:name="_Toc168658859"/>
      <w:bookmarkStart w:id="150" w:name="_Toc168661303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污水系统</w:t>
      </w:r>
      <w:bookmarkEnd w:id="149"/>
      <w:bookmarkEnd w:id="150"/>
    </w:p>
    <w:p w14:paraId="2EAB1EB0">
      <w:pPr>
        <w:pStyle w:val="6"/>
        <w:adjustRightInd w:val="0"/>
        <w:snapToGrid w:val="0"/>
        <w:spacing w:before="120" w:beforeLines="50" w:after="120" w:afterLines="50" w:line="360" w:lineRule="auto"/>
        <w:ind w:left="1021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污水处理方式</w:t>
      </w:r>
    </w:p>
    <w:p w14:paraId="75C513B6">
      <w:pPr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陈家油坊村规划地下污水处理设施</w:t>
      </w:r>
      <w:r>
        <w:rPr>
          <w:rFonts w:ascii="仿宋" w:hAnsi="仿宋" w:eastAsia="仿宋" w:cs="仿宋"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仿宋" w:hAnsi="仿宋" w:eastAsia="仿宋" w:cs="仿宋"/>
          <w:color w:val="000000" w:themeColor="text1"/>
          <w:spacing w:val="-4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同时规划推进污水管网建设。污水处</w:t>
      </w:r>
      <w:r>
        <w:rPr>
          <w:rFonts w:ascii="仿宋" w:hAnsi="仿宋" w:eastAsia="仿宋" w:cs="仿宋"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理达标后排放至氧化塘。处理后的污水应达到《农田灌溉水</w:t>
      </w:r>
      <w:r>
        <w:rPr>
          <w:rFonts w:ascii="仿宋" w:hAnsi="仿宋" w:eastAsia="仿宋" w:cs="仿宋"/>
          <w:color w:val="000000" w:themeColor="text1"/>
          <w:spacing w:val="-8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质标</w:t>
      </w:r>
      <w:r>
        <w:rPr>
          <w:rFonts w:ascii="仿宋" w:hAnsi="仿宋" w:eastAsia="仿宋" w:cs="仿宋"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准》（GB5084-2021）要求。</w:t>
      </w:r>
    </w:p>
    <w:p w14:paraId="15E3C1B7">
      <w:pPr>
        <w:pStyle w:val="4"/>
        <w:numPr>
          <w:ilvl w:val="1"/>
          <w:numId w:val="5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51" w:name="_bookmark16"/>
      <w:bookmarkEnd w:id="151"/>
      <w:bookmarkStart w:id="152" w:name="_Toc168658860"/>
      <w:bookmarkStart w:id="153" w:name="_Toc168500129"/>
      <w:bookmarkStart w:id="154" w:name="_Toc168661304"/>
      <w:bookmarkStart w:id="155" w:name="_Toc168491001"/>
      <w:bookmarkStart w:id="156" w:name="_Toc201914688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电力工程规划</w:t>
      </w:r>
      <w:bookmarkEnd w:id="152"/>
      <w:bookmarkEnd w:id="153"/>
      <w:bookmarkEnd w:id="154"/>
      <w:bookmarkEnd w:id="155"/>
      <w:bookmarkEnd w:id="156"/>
    </w:p>
    <w:p w14:paraId="5D8B48A5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57" w:name="_Toc168658861"/>
      <w:bookmarkStart w:id="158" w:name="_Toc168661305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电力负荷预测</w:t>
      </w:r>
      <w:bookmarkEnd w:id="157"/>
      <w:bookmarkEnd w:id="158"/>
    </w:p>
    <w:p w14:paraId="436EC080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规划电源从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老四平镇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变电所接入，原有线路基本满足现有村民日常使用需求。</w:t>
      </w:r>
    </w:p>
    <w:p w14:paraId="0ADBD12F">
      <w:pPr>
        <w:pStyle w:val="4"/>
        <w:numPr>
          <w:ilvl w:val="1"/>
          <w:numId w:val="5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59" w:name="_bookmark17"/>
      <w:bookmarkEnd w:id="159"/>
      <w:bookmarkStart w:id="160" w:name="_Toc168491002"/>
      <w:bookmarkStart w:id="161" w:name="_Toc168500130"/>
      <w:bookmarkStart w:id="162" w:name="_Toc168658862"/>
      <w:bookmarkStart w:id="163" w:name="_Toc201914689"/>
      <w:bookmarkStart w:id="164" w:name="_Toc168661306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电信工程规划</w:t>
      </w:r>
      <w:bookmarkEnd w:id="160"/>
      <w:bookmarkEnd w:id="161"/>
      <w:bookmarkEnd w:id="162"/>
      <w:bookmarkEnd w:id="163"/>
      <w:bookmarkEnd w:id="164"/>
    </w:p>
    <w:p w14:paraId="2DF4B405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65" w:name="_Toc168658863"/>
      <w:bookmarkStart w:id="166" w:name="_Toc168661307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电信工程</w:t>
      </w:r>
      <w:bookmarkEnd w:id="165"/>
      <w:bookmarkEnd w:id="166"/>
    </w:p>
    <w:p w14:paraId="1FAAE348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电信信号引自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老四平镇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电信支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局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，建成具备宽带、移动电话、有线电视等功能的综合通讯网络系统。规划电信电缆采用架空方式敷设，并结合电信电缆同杆架设有线电视电缆。实现有线电视户户通。建立、完善以移动基站为中心的移动通信接入网。</w:t>
      </w:r>
      <w:bookmarkStart w:id="167" w:name="_Toc168661308"/>
      <w:bookmarkStart w:id="168" w:name="_Toc168658864"/>
    </w:p>
    <w:p w14:paraId="79DE1539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有线电视</w:t>
      </w:r>
      <w:bookmarkEnd w:id="167"/>
      <w:bookmarkEnd w:id="168"/>
    </w:p>
    <w:p w14:paraId="57E12444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规划逐步使用有线电视信号，加强有线电视线路管理和维护。</w:t>
      </w:r>
    </w:p>
    <w:p w14:paraId="73392894">
      <w:pPr>
        <w:pStyle w:val="4"/>
        <w:numPr>
          <w:ilvl w:val="1"/>
          <w:numId w:val="5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69" w:name="_bookmark18"/>
      <w:bookmarkEnd w:id="169"/>
      <w:bookmarkStart w:id="170" w:name="_Toc168500131"/>
      <w:bookmarkStart w:id="171" w:name="_Toc168661309"/>
      <w:bookmarkStart w:id="172" w:name="_Toc168491003"/>
      <w:bookmarkStart w:id="173" w:name="_Toc168658865"/>
      <w:bookmarkStart w:id="174" w:name="_Toc201914690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燃气供热工程规划</w:t>
      </w:r>
      <w:bookmarkEnd w:id="170"/>
      <w:bookmarkEnd w:id="171"/>
      <w:bookmarkEnd w:id="172"/>
      <w:bookmarkEnd w:id="173"/>
      <w:bookmarkEnd w:id="174"/>
    </w:p>
    <w:p w14:paraId="72D6BAD6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75" w:name="_Toc168661310"/>
      <w:bookmarkStart w:id="176" w:name="_Toc168658866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燃气工程</w:t>
      </w:r>
      <w:bookmarkEnd w:id="175"/>
      <w:bookmarkEnd w:id="176"/>
    </w:p>
    <w:p w14:paraId="32CA945C">
      <w:pPr>
        <w:pStyle w:val="6"/>
        <w:adjustRightInd w:val="0"/>
        <w:snapToGrid w:val="0"/>
        <w:spacing w:before="120" w:beforeLines="50" w:after="120" w:afterLines="50" w:line="360" w:lineRule="auto"/>
        <w:ind w:left="1021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陈家油坊村未敷设燃气管道，未来采用罐装液化石油气。</w:t>
      </w:r>
    </w:p>
    <w:p w14:paraId="20AA6790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77" w:name="_Toc168661311"/>
      <w:bookmarkStart w:id="178" w:name="_Toc168658867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供热工程</w:t>
      </w:r>
      <w:bookmarkEnd w:id="177"/>
      <w:bookmarkEnd w:id="178"/>
    </w:p>
    <w:p w14:paraId="4453C67F">
      <w:pPr>
        <w:pStyle w:val="6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 w:ascii="仿宋_GB2312" w:eastAsia="仿宋_GB2312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79" w:name="_bookmark19"/>
      <w:bookmarkEnd w:id="179"/>
      <w:bookmarkStart w:id="180" w:name="_Toc168491004"/>
      <w:bookmarkStart w:id="181" w:name="_Toc168500132"/>
      <w:bookmarkStart w:id="182" w:name="_Toc168658868"/>
      <w:bookmarkStart w:id="183" w:name="_Toc168661312"/>
      <w:r>
        <w:rPr>
          <w:rFonts w:hint="eastAsia" w:ascii="仿宋_GB2312" w:eastAsia="仿宋_GB2312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陈家油坊村规划</w:t>
      </w:r>
      <w:bookmarkStart w:id="184" w:name="_Hlk181869803"/>
      <w:r>
        <w:rPr>
          <w:rFonts w:hint="eastAsia" w:ascii="仿宋_GB2312" w:eastAsia="仿宋_GB2312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采用多热源方式供暖，提倡空气热源泵采暖方式</w:t>
      </w:r>
      <w:bookmarkEnd w:id="184"/>
      <w:r>
        <w:rPr>
          <w:rFonts w:hint="eastAsia" w:ascii="仿宋_GB2312" w:eastAsia="仿宋_GB2312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5CF2BF0A">
      <w:pPr>
        <w:pStyle w:val="4"/>
        <w:numPr>
          <w:ilvl w:val="1"/>
          <w:numId w:val="5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85" w:name="_Toc201914691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环卫工程规划</w:t>
      </w:r>
      <w:bookmarkEnd w:id="180"/>
      <w:bookmarkEnd w:id="181"/>
      <w:bookmarkEnd w:id="182"/>
      <w:bookmarkEnd w:id="183"/>
      <w:bookmarkEnd w:id="185"/>
    </w:p>
    <w:p w14:paraId="6797D8B8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86" w:name="_Toc168661313"/>
      <w:bookmarkStart w:id="187" w:name="_Toc168658869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垃圾收集无害化处理</w:t>
      </w:r>
      <w:bookmarkEnd w:id="186"/>
      <w:bookmarkEnd w:id="187"/>
    </w:p>
    <w:p w14:paraId="4761EEDF">
      <w:pPr>
        <w:pStyle w:val="6"/>
        <w:adjustRightInd w:val="0"/>
        <w:snapToGrid w:val="0"/>
        <w:spacing w:before="100" w:beforeAutospacing="1" w:after="100" w:afterAutospacing="1" w:line="360" w:lineRule="auto"/>
        <w:ind w:left="1021"/>
        <w:jc w:val="both"/>
        <w:rPr>
          <w:rFonts w:hint="eastAsia" w:ascii="仿宋_GB2312" w:eastAsia="仿宋_GB2312"/>
          <w:color w:val="000000" w:themeColor="text1"/>
          <w:spacing w:val="-6"/>
          <w:lang w:eastAsia="zh-CN"/>
          <w14:textFill>
            <w14:solidFill>
              <w14:schemeClr w14:val="tx1"/>
            </w14:solidFill>
          </w14:textFill>
        </w:rPr>
      </w:pPr>
      <w:bookmarkStart w:id="188" w:name="_Toc168661314"/>
      <w:bookmarkStart w:id="189" w:name="_Toc168658870"/>
      <w:r>
        <w:rPr>
          <w:rFonts w:hint="eastAsia" w:ascii="仿宋_GB2312" w:eastAsia="仿宋_GB2312"/>
          <w:color w:val="000000" w:themeColor="text1"/>
          <w:spacing w:val="-6"/>
          <w:lang w:eastAsia="zh-CN"/>
          <w14:textFill>
            <w14:solidFill>
              <w14:schemeClr w14:val="tx1"/>
            </w14:solidFill>
          </w14:textFill>
        </w:rPr>
        <w:t>建立“户分类、村收集、镇转运、县处理”的运行体系，实现垃圾城乡一体化处理。完善垃圾收集转运和集中处理设施布局，消除垃圾堆和卫生死角。</w:t>
      </w:r>
    </w:p>
    <w:p w14:paraId="1315CDA9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厕所革命</w:t>
      </w:r>
      <w:bookmarkEnd w:id="188"/>
      <w:bookmarkEnd w:id="189"/>
    </w:p>
    <w:p w14:paraId="467F8E68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规划在实现村内户厕建设全覆盖，提升村民生活宜居性。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br w:type="page"/>
      </w:r>
    </w:p>
    <w:p w14:paraId="26870699">
      <w:pPr>
        <w:pStyle w:val="2"/>
        <w:spacing w:before="480"/>
        <w:contextualSpacing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190" w:name="_bookmark20"/>
      <w:bookmarkEnd w:id="190"/>
      <w:bookmarkStart w:id="191" w:name="_Toc168658871"/>
      <w:bookmarkStart w:id="192" w:name="_Toc168500133"/>
      <w:bookmarkStart w:id="193" w:name="_Toc201914692"/>
      <w:bookmarkStart w:id="194" w:name="_Toc168491005"/>
      <w:bookmarkStart w:id="195" w:name="_Toc168661315"/>
      <w:r>
        <w:rPr>
          <w:color w:val="000000" w:themeColor="text1"/>
          <w14:textFill>
            <w14:solidFill>
              <w14:schemeClr w14:val="tx1"/>
            </w14:solidFill>
          </w14:textFill>
        </w:rPr>
        <w:t>防灾减灾规划</w:t>
      </w:r>
      <w:bookmarkEnd w:id="191"/>
      <w:bookmarkEnd w:id="192"/>
      <w:bookmarkEnd w:id="193"/>
      <w:bookmarkEnd w:id="194"/>
      <w:bookmarkEnd w:id="195"/>
    </w:p>
    <w:p w14:paraId="2514D4C1">
      <w:pPr>
        <w:pStyle w:val="4"/>
        <w:numPr>
          <w:ilvl w:val="1"/>
          <w:numId w:val="6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196" w:name="_bookmark21"/>
      <w:bookmarkEnd w:id="196"/>
      <w:bookmarkStart w:id="197" w:name="_Toc168658872"/>
      <w:bookmarkStart w:id="198" w:name="_Toc168491006"/>
      <w:bookmarkStart w:id="199" w:name="_Toc168661316"/>
      <w:bookmarkStart w:id="200" w:name="_Toc201914693"/>
      <w:bookmarkStart w:id="201" w:name="_Toc168500134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防洪规划</w:t>
      </w:r>
      <w:bookmarkEnd w:id="197"/>
      <w:bookmarkEnd w:id="198"/>
      <w:bookmarkEnd w:id="199"/>
      <w:bookmarkEnd w:id="200"/>
      <w:bookmarkEnd w:id="201"/>
    </w:p>
    <w:p w14:paraId="2B32BA4B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02" w:name="_Toc168661317"/>
      <w:bookmarkStart w:id="203" w:name="_Toc168658873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防洪标准</w:t>
      </w:r>
      <w:bookmarkEnd w:id="202"/>
      <w:bookmarkEnd w:id="203"/>
    </w:p>
    <w:p w14:paraId="5421A257">
      <w:pPr>
        <w:adjustRightInd w:val="0"/>
        <w:snapToGrid w:val="0"/>
        <w:spacing w:before="120" w:beforeLines="50" w:after="120" w:afterLines="50" w:line="360" w:lineRule="auto"/>
        <w:ind w:left="1021"/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村庄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内部有河流东西向</w:t>
      </w:r>
      <w:r>
        <w:rPr>
          <w:rFonts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流经，规划按照标准设防。</w:t>
      </w:r>
    </w:p>
    <w:p w14:paraId="295DCE4E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04" w:name="_Toc168658874"/>
      <w:bookmarkStart w:id="205" w:name="_Toc168661318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防涝规划</w:t>
      </w:r>
      <w:bookmarkEnd w:id="204"/>
      <w:bookmarkEnd w:id="205"/>
    </w:p>
    <w:p w14:paraId="0EC052FE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按照畅通水系、恢复引排能力、改善环境、修复生态、方便群众的要求，对村庄内灌渠进行疏浚，提升村庄排涝能力。</w:t>
      </w:r>
    </w:p>
    <w:p w14:paraId="308C4014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公共卫生安全规划</w:t>
      </w:r>
    </w:p>
    <w:p w14:paraId="100C55EE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健全村卫生室基层医疗设施服务能力，配置一名村防疫员，负责五块石村动物防疫、检疫、监督、应急工作等防疫工作。建议村卫生室、村部配备基础性灾害应急物资。</w:t>
      </w:r>
    </w:p>
    <w:p w14:paraId="033C86C9">
      <w:pPr>
        <w:pStyle w:val="4"/>
        <w:numPr>
          <w:ilvl w:val="1"/>
          <w:numId w:val="5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06" w:name="_bookmark22"/>
      <w:bookmarkEnd w:id="206"/>
      <w:bookmarkStart w:id="207" w:name="_Toc168500135"/>
      <w:bookmarkStart w:id="208" w:name="_Toc201914694"/>
      <w:bookmarkStart w:id="209" w:name="_Toc168661319"/>
      <w:bookmarkStart w:id="210" w:name="_Toc168491007"/>
      <w:bookmarkStart w:id="211" w:name="_Toc168658875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消防规划</w:t>
      </w:r>
      <w:bookmarkEnd w:id="207"/>
      <w:bookmarkEnd w:id="208"/>
      <w:bookmarkEnd w:id="209"/>
      <w:bookmarkEnd w:id="210"/>
      <w:bookmarkEnd w:id="211"/>
    </w:p>
    <w:p w14:paraId="440B7C73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12" w:name="_Toc168658876"/>
      <w:bookmarkStart w:id="213" w:name="_Toc168661320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消防用水</w:t>
      </w:r>
      <w:bookmarkEnd w:id="212"/>
      <w:bookmarkEnd w:id="213"/>
    </w:p>
    <w:p w14:paraId="07B220CC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消防供水采用市政管网直接供给，消火栓应沿道路设置，保证主要交通道路的通畅。</w:t>
      </w:r>
    </w:p>
    <w:p w14:paraId="57A0F47F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14" w:name="_Toc168658877"/>
      <w:bookmarkStart w:id="215" w:name="_Toc168661321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消防通道</w:t>
      </w:r>
      <w:bookmarkEnd w:id="214"/>
      <w:bookmarkEnd w:id="215"/>
    </w:p>
    <w:p w14:paraId="54D0836D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规划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村委会作为临时消防指挥部。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老老线公路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为村庄主要道路作为防灾疏散通道，村内健身广场作为消防疏散场地。民用建筑、公共建筑和工业建筑，必须在建筑外部设置必要的消防通道和消防车扑救场地。</w:t>
      </w:r>
    </w:p>
    <w:p w14:paraId="5E4EDDE3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柴草堆置也应考虑防火要求等。</w:t>
      </w:r>
    </w:p>
    <w:p w14:paraId="12A33FE2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村庄近期消防用水主要由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河流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水代替。随着供水系统的逐渐完善设置消火栓。</w:t>
      </w:r>
    </w:p>
    <w:p w14:paraId="0F5CAB42">
      <w:pPr>
        <w:pStyle w:val="4"/>
        <w:numPr>
          <w:ilvl w:val="1"/>
          <w:numId w:val="5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16" w:name="_bookmark23"/>
      <w:bookmarkEnd w:id="216"/>
      <w:bookmarkStart w:id="217" w:name="_Toc168491008"/>
      <w:bookmarkStart w:id="218" w:name="_Toc168500136"/>
      <w:bookmarkStart w:id="219" w:name="_Toc168661322"/>
      <w:bookmarkStart w:id="220" w:name="_Toc201914695"/>
      <w:bookmarkStart w:id="221" w:name="_Toc168658878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抗震规划</w:t>
      </w:r>
      <w:bookmarkEnd w:id="217"/>
      <w:bookmarkEnd w:id="218"/>
      <w:bookmarkEnd w:id="219"/>
      <w:bookmarkEnd w:id="220"/>
      <w:bookmarkEnd w:id="221"/>
    </w:p>
    <w:p w14:paraId="374E599B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22" w:name="_Toc168661324"/>
      <w:bookmarkStart w:id="223" w:name="_Toc168658880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疏散场地</w:t>
      </w:r>
      <w:bookmarkEnd w:id="222"/>
      <w:bookmarkEnd w:id="223"/>
    </w:p>
    <w:p w14:paraId="53D05165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规划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老老线县道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作为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主要对外联系的主要疏散通道。以保证地震建筑物倒塌时道路畅通。村委会北侧新增设广场作为地震时临时疏散场地。</w:t>
      </w:r>
    </w:p>
    <w:p w14:paraId="7F942EA7">
      <w:pPr>
        <w:spacing w:before="100" w:beforeAutospacing="1" w:after="100" w:afterAutospacing="1" w:line="360" w:lineRule="auto"/>
        <w:ind w:left="770" w:hanging="770" w:hangingChars="350"/>
        <w:contextualSpacing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sectPr>
          <w:footerReference r:id="rId15" w:type="default"/>
          <w:pgSz w:w="11910" w:h="16840"/>
          <w:pgMar w:top="1134" w:right="1440" w:bottom="1134" w:left="1440" w:header="850" w:footer="850" w:gutter="0"/>
          <w:cols w:space="720" w:num="1"/>
          <w:docGrid w:linePitch="299" w:charSpace="0"/>
        </w:sectPr>
      </w:pPr>
    </w:p>
    <w:p w14:paraId="26410A5F">
      <w:pPr>
        <w:pStyle w:val="2"/>
        <w:spacing w:before="48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224" w:name="_bookmark24"/>
      <w:bookmarkEnd w:id="224"/>
      <w:bookmarkStart w:id="225" w:name="_Toc168491009"/>
      <w:bookmarkStart w:id="226" w:name="_Toc168661325"/>
      <w:bookmarkStart w:id="227" w:name="_Toc168500137"/>
      <w:bookmarkStart w:id="228" w:name="_Toc201914696"/>
      <w:bookmarkStart w:id="229" w:name="_Toc168658881"/>
      <w:r>
        <w:rPr>
          <w:color w:val="000000" w:themeColor="text1"/>
          <w14:textFill>
            <w14:solidFill>
              <w14:schemeClr w14:val="tx1"/>
            </w14:solidFill>
          </w14:textFill>
        </w:rPr>
        <w:t>村庄整治规划</w:t>
      </w:r>
      <w:bookmarkEnd w:id="225"/>
      <w:bookmarkEnd w:id="226"/>
      <w:bookmarkEnd w:id="227"/>
      <w:bookmarkEnd w:id="228"/>
      <w:bookmarkEnd w:id="229"/>
    </w:p>
    <w:p w14:paraId="2837A911">
      <w:pPr>
        <w:pStyle w:val="4"/>
        <w:numPr>
          <w:ilvl w:val="1"/>
          <w:numId w:val="7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30" w:name="_bookmark25"/>
      <w:bookmarkEnd w:id="230"/>
      <w:bookmarkStart w:id="231" w:name="_Toc168500138"/>
      <w:bookmarkStart w:id="232" w:name="_Toc201914697"/>
      <w:bookmarkStart w:id="233" w:name="_Toc168658882"/>
      <w:bookmarkStart w:id="234" w:name="_Toc168661326"/>
      <w:bookmarkStart w:id="235" w:name="_Toc168491010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农房改造</w:t>
      </w:r>
      <w:bookmarkEnd w:id="231"/>
      <w:bookmarkEnd w:id="232"/>
      <w:bookmarkEnd w:id="233"/>
      <w:bookmarkEnd w:id="234"/>
      <w:bookmarkEnd w:id="235"/>
    </w:p>
    <w:p w14:paraId="30A83C12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36" w:name="_Toc168661328"/>
      <w:bookmarkStart w:id="237" w:name="_Toc168658884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院落整治</w:t>
      </w:r>
      <w:bookmarkEnd w:id="236"/>
      <w:bookmarkEnd w:id="237"/>
    </w:p>
    <w:p w14:paraId="411546D8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质量较好建筑改造内容：墙体改造、门窗改造、管网设施入户。质量一般建筑改造内容：墙体改造、屋顶改造、门窗改造、地面改造、管网设施入户。质量较差建筑改造内容：危房改造、墙体改造、屋顶改造、门窗改造、地面改造、管网设施入户。</w:t>
      </w:r>
    </w:p>
    <w:p w14:paraId="684BB12C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38" w:name="_Toc168658885"/>
      <w:bookmarkStart w:id="239" w:name="_Toc168661329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建筑整治</w:t>
      </w:r>
      <w:bookmarkEnd w:id="238"/>
      <w:bookmarkEnd w:id="239"/>
    </w:p>
    <w:p w14:paraId="3AD8C39F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规划对质量较差的房屋进行改造，对建筑立面、门窗、材质提出指导性材料选择，分批分级制定整治计划。</w:t>
      </w:r>
    </w:p>
    <w:p w14:paraId="28D56E0D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屋顶：推荐采用红色瓦片色彩对屋顶进行改造。</w:t>
      </w:r>
    </w:p>
    <w:p w14:paraId="1EEBA08C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墙面：推荐以白色、浅灰色为主，有条件的村民可进行白色瓷砖贴面。</w:t>
      </w:r>
    </w:p>
    <w:p w14:paraId="507ADAB3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窗户：推荐采用断桥铝合金材质风格窗框。</w:t>
      </w:r>
    </w:p>
    <w:p w14:paraId="1424D594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院落：注重对围墙、绿篱等围合构筑物和庭院出入口的美化处理，不宜采用大面积的硬质铺装，植物配植采用乔、灌、草结合方式。</w:t>
      </w:r>
    </w:p>
    <w:p w14:paraId="64224C5B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40" w:name="_Toc168661330"/>
      <w:bookmarkStart w:id="241" w:name="_Toc168658886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绿色建筑</w:t>
      </w:r>
      <w:bookmarkEnd w:id="240"/>
      <w:bookmarkEnd w:id="241"/>
    </w:p>
    <w:p w14:paraId="12D824BD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建设用地范围内新建民用建筑(农村自建住宅除外)，应当按照绿色建筑标准进行规划建设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，在农房的建设过程中，充分考虑节能环保、可持续发展的理念，采用绿色建材、节能技术和生态设计，以实现资源的高效利用和环境的最小影响。</w:t>
      </w:r>
    </w:p>
    <w:p w14:paraId="03253528">
      <w:pPr>
        <w:pStyle w:val="4"/>
        <w:numPr>
          <w:ilvl w:val="1"/>
          <w:numId w:val="5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42" w:name="_bookmark26"/>
      <w:bookmarkEnd w:id="242"/>
      <w:bookmarkStart w:id="243" w:name="_Toc168661333"/>
      <w:bookmarkStart w:id="244" w:name="_Toc168658889"/>
      <w:bookmarkStart w:id="245" w:name="_Toc201914698"/>
      <w:bookmarkStart w:id="246" w:name="_Toc168500139"/>
      <w:bookmarkStart w:id="247" w:name="_Toc168491011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环境整治</w:t>
      </w:r>
      <w:bookmarkEnd w:id="243"/>
      <w:bookmarkEnd w:id="244"/>
      <w:bookmarkEnd w:id="245"/>
      <w:bookmarkEnd w:id="246"/>
      <w:bookmarkEnd w:id="247"/>
    </w:p>
    <w:p w14:paraId="4574EF1C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48" w:name="_Toc168658890"/>
      <w:bookmarkStart w:id="249" w:name="_Toc168661334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整治目标</w:t>
      </w:r>
      <w:bookmarkEnd w:id="248"/>
      <w:bookmarkEnd w:id="249"/>
    </w:p>
    <w:p w14:paraId="3205EC20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对村庄内道路、街巷、环卫设施等进行整治，达到美丽宜居示范村要求，改善村民交往空间，满足村民日常生活需求。</w:t>
      </w:r>
    </w:p>
    <w:p w14:paraId="28406822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50" w:name="_Toc168661335"/>
      <w:bookmarkStart w:id="251" w:name="_Toc168658891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道路整治</w:t>
      </w:r>
      <w:bookmarkEnd w:id="250"/>
      <w:bookmarkEnd w:id="251"/>
    </w:p>
    <w:p w14:paraId="49E7B864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规划对村庄内部道路路面进行分类整修，对路面铺装材质提出规划引导要求。对道路雨水边沟进行整治，逐步推进机耕道硬化。</w:t>
      </w:r>
    </w:p>
    <w:p w14:paraId="5999BE93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52" w:name="_Toc168658892"/>
      <w:bookmarkStart w:id="253" w:name="_Toc168661336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街巷整治</w:t>
      </w:r>
      <w:bookmarkEnd w:id="252"/>
      <w:bookmarkEnd w:id="253"/>
    </w:p>
    <w:p w14:paraId="7A30FCF8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民宅院墙整治重点对村民院墙进行修复，建议以白色、浅灰色等浅色系为主，补绘原有彩绘墙面。规划按照原有样式重新统一修缮村民院内。院墙外属于公共空间，依据村民意愿，可以种植花草或种植低矮多叶蔬菜作为景观。院墙墙体添加 墙画，增强农村环境氛围。</w:t>
      </w:r>
    </w:p>
    <w:p w14:paraId="2A570A9D">
      <w:pPr>
        <w:pStyle w:val="4"/>
        <w:numPr>
          <w:ilvl w:val="1"/>
          <w:numId w:val="5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54" w:name="_bookmark27"/>
      <w:bookmarkEnd w:id="254"/>
      <w:bookmarkStart w:id="255" w:name="_Toc168500140"/>
      <w:bookmarkStart w:id="256" w:name="_Toc168661338"/>
      <w:bookmarkStart w:id="257" w:name="_Toc168491012"/>
      <w:bookmarkStart w:id="258" w:name="_Toc168658894"/>
      <w:bookmarkStart w:id="259" w:name="_Toc201914699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风貌提升</w:t>
      </w:r>
      <w:bookmarkEnd w:id="255"/>
      <w:bookmarkEnd w:id="256"/>
      <w:bookmarkEnd w:id="257"/>
      <w:bookmarkEnd w:id="258"/>
      <w:bookmarkEnd w:id="259"/>
    </w:p>
    <w:p w14:paraId="683F0352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60" w:name="_Toc168661339"/>
      <w:bookmarkStart w:id="261" w:name="_Toc168658895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民宅风貌提升</w:t>
      </w:r>
      <w:bookmarkEnd w:id="260"/>
      <w:bookmarkEnd w:id="261"/>
    </w:p>
    <w:p w14:paraId="546F5C45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从屋脊、檐口、饰面、门窗、色调、符号、材质等多维的角度来诠释和解读，体现村庄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北方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合院的特色风貌。</w:t>
      </w:r>
    </w:p>
    <w:p w14:paraId="4F33AA18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62" w:name="_Toc168661340"/>
      <w:bookmarkStart w:id="263" w:name="_Toc168658896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建筑色彩</w:t>
      </w:r>
      <w:bookmarkEnd w:id="262"/>
      <w:bookmarkEnd w:id="263"/>
    </w:p>
    <w:p w14:paraId="0C112B32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以白色、浅灰色为主色调。其他建筑色彩：与整体村庄风貌相协调即可。</w:t>
      </w:r>
    </w:p>
    <w:p w14:paraId="09B2D3CA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64" w:name="_Toc168658897"/>
      <w:bookmarkStart w:id="265" w:name="_Toc168661341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景观小品</w:t>
      </w:r>
      <w:bookmarkEnd w:id="264"/>
      <w:bookmarkEnd w:id="265"/>
    </w:p>
    <w:p w14:paraId="2C73AFD2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在村庄公共节点、景观节点地区设计文化小品，包括休闲座椅、候车亭、广告牌、宣传栏等村庄小品，材质选择应符合 村庄特点，就地取材。</w:t>
      </w:r>
    </w:p>
    <w:p w14:paraId="3A741FD7">
      <w:pPr>
        <w:pStyle w:val="4"/>
        <w:numPr>
          <w:ilvl w:val="1"/>
          <w:numId w:val="4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66" w:name="_bookmark28"/>
      <w:bookmarkEnd w:id="266"/>
      <w:bookmarkStart w:id="267" w:name="_Toc171691012"/>
      <w:bookmarkStart w:id="268" w:name="_Toc201914700"/>
      <w:bookmarkStart w:id="269" w:name="_Toc172631017"/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土地整治与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生态修复</w:t>
      </w:r>
      <w:bookmarkEnd w:id="267"/>
      <w:bookmarkEnd w:id="268"/>
      <w:bookmarkEnd w:id="269"/>
    </w:p>
    <w:p w14:paraId="13F64F7A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70" w:name="_Toc4209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农用地</w:t>
      </w:r>
      <w:bookmarkEnd w:id="270"/>
      <w:r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整治</w:t>
      </w:r>
    </w:p>
    <w:p w14:paraId="6B53C306">
      <w:pPr>
        <w:pStyle w:val="6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（1）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耕地保护规划</w:t>
      </w:r>
    </w:p>
    <w:p w14:paraId="076DB6DE">
      <w:pPr>
        <w:pStyle w:val="6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规划期内严格实施国家耕地保护制度，控制建设占用优质耕地。</w:t>
      </w:r>
    </w:p>
    <w:p w14:paraId="481D3CE0">
      <w:pPr>
        <w:pStyle w:val="6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（2）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整理措施</w:t>
      </w:r>
    </w:p>
    <w:p w14:paraId="24B528AE">
      <w:pPr>
        <w:pStyle w:val="6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推进高标准农田建设，通过农田整理、连接成片，实现规模化生产。并通过多元化的种植方式，改善种植生态环境，对土地进行生态修复。</w:t>
      </w:r>
    </w:p>
    <w:p w14:paraId="54E663BE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71" w:name="_Toc27359"/>
      <w:r>
        <w:rPr>
          <w:rFonts w:ascii="Times New Roman" w:hAnsi="Times New Roman" w:cs="Times New Roman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村域</w:t>
      </w:r>
      <w:r>
        <w:rPr>
          <w:rFonts w:ascii="Times New Roman" w:hAnsi="Times New Roman" w:cs="Times New Roman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建设用地</w:t>
      </w:r>
      <w:bookmarkEnd w:id="271"/>
      <w:r>
        <w:rPr>
          <w:rFonts w:hint="eastAsia" w:ascii="Times New Roman" w:hAnsi="Times New Roman" w:cs="Times New Roman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整治</w:t>
      </w:r>
    </w:p>
    <w:p w14:paraId="258D4345">
      <w:pPr>
        <w:pStyle w:val="6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（1）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建设用地整治</w:t>
      </w:r>
    </w:p>
    <w:p w14:paraId="375A8057">
      <w:pPr>
        <w:pStyle w:val="6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通过农村建设用地“空心化”、“低效化”治理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3C3B7EA7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生态修复</w:t>
      </w:r>
    </w:p>
    <w:p w14:paraId="5176A2D6">
      <w:pPr>
        <w:pStyle w:val="6"/>
        <w:spacing w:line="360" w:lineRule="auto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（1）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水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环境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保护</w:t>
      </w:r>
    </w:p>
    <w:p w14:paraId="4F51C13C">
      <w:pPr>
        <w:pStyle w:val="6"/>
        <w:spacing w:line="360" w:lineRule="auto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完成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村域内河流水域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及周边缓冲区的涵养林种植，修复水域生态环境。</w:t>
      </w:r>
    </w:p>
    <w:p w14:paraId="0E6EFE4E">
      <w:pPr>
        <w:pStyle w:val="6"/>
        <w:spacing w:line="360" w:lineRule="auto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（2）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植被退化修复</w:t>
      </w:r>
    </w:p>
    <w:p w14:paraId="531EB234">
      <w:pPr>
        <w:pStyle w:val="6"/>
        <w:spacing w:line="360" w:lineRule="auto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一方面通过工程修复，加强对草地的绿化，开展地被补植工程；另一方面依托生态修复，采用更替、择伐、抚育、林带渐进等方式改善林分结构和生境，提高林分质量，提升林地生态防护功能。</w:t>
      </w:r>
    </w:p>
    <w:p w14:paraId="5BA753C0">
      <w:pPr>
        <w:pStyle w:val="6"/>
        <w:spacing w:line="360" w:lineRule="auto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（3）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水土流失修复</w:t>
      </w:r>
    </w:p>
    <w:p w14:paraId="3D44C4F1">
      <w:pPr>
        <w:pStyle w:val="6"/>
        <w:spacing w:line="360" w:lineRule="auto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完成项目区水土流失综合治理，加强生态牧草地和果林综合种植，提高生态修复科技含量。</w:t>
      </w:r>
    </w:p>
    <w:p w14:paraId="12442360">
      <w:pPr>
        <w:pStyle w:val="6"/>
        <w:spacing w:line="360" w:lineRule="auto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（4）盐碱地改造</w:t>
      </w:r>
    </w:p>
    <w:p w14:paraId="5B0DDAD6">
      <w:pPr>
        <w:pStyle w:val="6"/>
        <w:spacing w:line="360" w:lineRule="auto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通过渠道衬砌、清淤，加设暗管排盐、明沟排水、改善土壤透水性等措施加强项目区灌溉排水能力。通过普施农家肥有效提升地力，土壤整体有机质含量提升。</w:t>
      </w:r>
    </w:p>
    <w:p w14:paraId="3D913017">
      <w:pPr>
        <w:pStyle w:val="6"/>
        <w:spacing w:line="360" w:lineRule="auto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（5）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生物多样性保护</w:t>
      </w:r>
    </w:p>
    <w:p w14:paraId="05EEAEDC">
      <w:pPr>
        <w:pStyle w:val="6"/>
        <w:spacing w:line="360" w:lineRule="auto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在村庄内开展多层级、多元化的生物多样性保护宣传教育活动，高效应对外来物种入侵。</w:t>
      </w:r>
    </w:p>
    <w:p w14:paraId="30B6F2DB">
      <w:pPr>
        <w:pStyle w:val="6"/>
        <w:spacing w:line="360" w:lineRule="auto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（6）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地质灾害点防治</w:t>
      </w:r>
    </w:p>
    <w:p w14:paraId="5C5FCDC1">
      <w:pPr>
        <w:pStyle w:val="6"/>
        <w:spacing w:line="360" w:lineRule="auto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在村庄入口、居民点、重点项目建设区、以及道路交汇节点修建护坡，加固坡面、加强护坡工程监管，预防地质灾害。</w:t>
      </w:r>
    </w:p>
    <w:p w14:paraId="6F65BE40">
      <w:pPr>
        <w:spacing w:before="100" w:beforeAutospacing="1" w:after="100" w:afterAutospacing="1" w:line="360" w:lineRule="auto"/>
        <w:ind w:left="770" w:hanging="770" w:hangingChars="350"/>
        <w:contextualSpacing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sectPr>
          <w:footerReference r:id="rId16" w:type="default"/>
          <w:pgSz w:w="11910" w:h="16840"/>
          <w:pgMar w:top="1134" w:right="1440" w:bottom="1134" w:left="1440" w:header="850" w:footer="850" w:gutter="0"/>
          <w:cols w:space="720" w:num="1"/>
          <w:docGrid w:linePitch="299" w:charSpace="0"/>
        </w:sectPr>
      </w:pPr>
    </w:p>
    <w:p w14:paraId="63FB87FB">
      <w:pPr>
        <w:pStyle w:val="2"/>
        <w:spacing w:before="48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272" w:name="_bookmark29"/>
      <w:bookmarkEnd w:id="272"/>
      <w:bookmarkStart w:id="273" w:name="_Toc168661346"/>
      <w:bookmarkStart w:id="274" w:name="_Toc168491014"/>
      <w:bookmarkStart w:id="275" w:name="_Toc168658902"/>
      <w:bookmarkStart w:id="276" w:name="_Toc168500142"/>
      <w:bookmarkStart w:id="277" w:name="_Toc201914701"/>
      <w:r>
        <w:rPr>
          <w:color w:val="000000" w:themeColor="text1"/>
          <w14:textFill>
            <w14:solidFill>
              <w14:schemeClr w14:val="tx1"/>
            </w14:solidFill>
          </w14:textFill>
        </w:rPr>
        <w:t>近期建设规划</w:t>
      </w:r>
      <w:bookmarkEnd w:id="273"/>
      <w:bookmarkEnd w:id="274"/>
      <w:bookmarkEnd w:id="275"/>
      <w:bookmarkEnd w:id="276"/>
      <w:bookmarkEnd w:id="277"/>
    </w:p>
    <w:p w14:paraId="439C871E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78" w:name="_Toc168658903"/>
      <w:bookmarkStart w:id="279" w:name="_Toc168661347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近期规划期限</w:t>
      </w:r>
      <w:bookmarkEnd w:id="278"/>
      <w:bookmarkEnd w:id="279"/>
    </w:p>
    <w:p w14:paraId="66F8690E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为了便于近期建设项目落地实施。</w:t>
      </w:r>
    </w:p>
    <w:p w14:paraId="62E33226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80" w:name="_Toc168658904"/>
      <w:bookmarkStart w:id="281" w:name="_Toc168661348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近期建设目标</w:t>
      </w:r>
      <w:bookmarkEnd w:id="280"/>
      <w:bookmarkEnd w:id="281"/>
    </w:p>
    <w:p w14:paraId="4107C381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以昌图县美丽宜居示范村创建为目标，提升公共服务设施配置，完善基础设施建设，创建宜居生态环境，为乡村振兴建设提供样板工程，带动村民共同创建美好家园。</w:t>
      </w:r>
    </w:p>
    <w:p w14:paraId="61E414B0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82" w:name="_Toc168658905"/>
      <w:bookmarkStart w:id="283" w:name="_Toc168661349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近期建设项目</w:t>
      </w:r>
      <w:bookmarkEnd w:id="282"/>
      <w:bookmarkEnd w:id="283"/>
    </w:p>
    <w:p w14:paraId="05FA8233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陈家油坊村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近期建设项目主要包括公共服务和公用设施项目、产业发展项目、基础设施项目和生态景观建设项目四个方面：公共服务和公用设施项目主要包括道路维修、污水设施扩建和新建公厕。产业发展项目主要包括特色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农畜养殖、生态种植养殖师范区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。基础设施项目包括路灯安装。生态景观建设项目主要包括民宅院 墙整治、街巷绿化整治。</w:t>
      </w:r>
    </w:p>
    <w:p w14:paraId="2A54AA6F">
      <w:pPr>
        <w:spacing w:before="100" w:beforeAutospacing="1" w:after="100" w:afterAutospacing="1" w:line="360" w:lineRule="auto"/>
        <w:ind w:left="770" w:hanging="770" w:hangingChars="350"/>
        <w:contextualSpacing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sectPr>
          <w:pgSz w:w="11910" w:h="16840"/>
          <w:pgMar w:top="1134" w:right="1440" w:bottom="1134" w:left="1440" w:header="850" w:footer="850" w:gutter="0"/>
          <w:cols w:space="720" w:num="1"/>
          <w:docGrid w:linePitch="299" w:charSpace="0"/>
        </w:sectPr>
      </w:pPr>
    </w:p>
    <w:p w14:paraId="1B10A0AC">
      <w:pPr>
        <w:pStyle w:val="2"/>
        <w:spacing w:before="48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284" w:name="_bookmark30"/>
      <w:bookmarkEnd w:id="284"/>
      <w:bookmarkStart w:id="285" w:name="_Toc168658907"/>
      <w:bookmarkStart w:id="286" w:name="_Toc168500143"/>
      <w:bookmarkStart w:id="287" w:name="_Toc201914702"/>
      <w:bookmarkStart w:id="288" w:name="_Toc168661351"/>
      <w:bookmarkStart w:id="289" w:name="_Toc168491015"/>
      <w:r>
        <w:rPr>
          <w:color w:val="000000" w:themeColor="text1"/>
          <w14:textFill>
            <w14:solidFill>
              <w14:schemeClr w14:val="tx1"/>
            </w14:solidFill>
          </w14:textFill>
        </w:rPr>
        <w:t>规划实施措施</w:t>
      </w:r>
      <w:bookmarkEnd w:id="285"/>
      <w:bookmarkEnd w:id="286"/>
      <w:bookmarkEnd w:id="287"/>
      <w:bookmarkEnd w:id="288"/>
      <w:bookmarkEnd w:id="289"/>
    </w:p>
    <w:p w14:paraId="67F0A473">
      <w:pPr>
        <w:pStyle w:val="4"/>
        <w:numPr>
          <w:ilvl w:val="1"/>
          <w:numId w:val="8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90" w:name="_bookmark31"/>
      <w:bookmarkEnd w:id="290"/>
      <w:bookmarkStart w:id="291" w:name="_Toc201914703"/>
      <w:bookmarkStart w:id="292" w:name="_Toc168491016"/>
      <w:bookmarkStart w:id="293" w:name="_Toc168658908"/>
      <w:bookmarkStart w:id="294" w:name="_Toc168500144"/>
      <w:bookmarkStart w:id="295" w:name="_Toc168661352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实施措施</w:t>
      </w:r>
      <w:bookmarkEnd w:id="291"/>
      <w:bookmarkEnd w:id="292"/>
      <w:bookmarkEnd w:id="293"/>
      <w:bookmarkEnd w:id="294"/>
      <w:bookmarkEnd w:id="295"/>
    </w:p>
    <w:p w14:paraId="15E1B1F0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96" w:name="_Toc168661353"/>
      <w:bookmarkStart w:id="297" w:name="_Toc168658909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组织保障</w:t>
      </w:r>
      <w:bookmarkEnd w:id="296"/>
      <w:bookmarkEnd w:id="297"/>
    </w:p>
    <w:p w14:paraId="0E73F5B8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加强组织领导，在基层党组织、村级组织中建立美丽宜居村庄管理机构，专人负责，支部书记任第一责任人。村民自治章程、村规民约、居民公约等民主管理制度完善，定期召开村民代表会议。</w:t>
      </w:r>
    </w:p>
    <w:p w14:paraId="11A649CC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98" w:name="_Toc168658910"/>
      <w:bookmarkStart w:id="299" w:name="_Toc168661354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资金保障</w:t>
      </w:r>
      <w:bookmarkEnd w:id="298"/>
      <w:bookmarkEnd w:id="299"/>
    </w:p>
    <w:p w14:paraId="3369C232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合理采取多渠道、多层次筹集建设资金的办法，探索政府帮扶、企业支持、农民出工模式，采取“以劳代赈”、村企共建等方式，充分发挥市场机制配置资源的基础作用，建立以农民为主体，全社会、多元化支持及参与村庄环境整治工作，改善村庄生产生活条件，完善村庄“造血”功能，实现农民持续增收。</w:t>
      </w:r>
    </w:p>
    <w:p w14:paraId="7B4BBCA5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300" w:name="_Toc168661355"/>
      <w:bookmarkStart w:id="301" w:name="_Toc168658911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运行保障</w:t>
      </w:r>
      <w:bookmarkEnd w:id="300"/>
      <w:bookmarkEnd w:id="301"/>
    </w:p>
    <w:p w14:paraId="239106E5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通过召开各种座谈和村民代表会议，使村民了解村庄规划的内容和要求，以及规划实施的意义，鼓励村民全程参与规划编制与实施，使村民享受知情权、参与权、表达权、监督权，保护村民的各项权益。规划内容以解决村民需求为导向，深度指导项目实施为标准，突出规划的实用性。</w:t>
      </w:r>
    </w:p>
    <w:p w14:paraId="0DC249E6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302" w:name="_Toc168658912"/>
      <w:bookmarkStart w:id="303" w:name="_Toc168661356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监督保障</w:t>
      </w:r>
      <w:bookmarkEnd w:id="302"/>
      <w:bookmarkEnd w:id="303"/>
    </w:p>
    <w:p w14:paraId="7199B3B3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村委会是村庄发展的掌舵者，村庄规划落实的执行者，村民利益的保护者。在规划实施与村庄发展中，不论采取何种发展模式，确保农民利益不受损。同时，将规划实施管理列入村委会工作政绩考核内容，定期考核，做到有管理目标、管理制度、管理队伍、管理经费、运作机制、监督措施。</w:t>
      </w:r>
    </w:p>
    <w:p w14:paraId="308FCE3E">
      <w:pPr>
        <w:pStyle w:val="4"/>
        <w:numPr>
          <w:ilvl w:val="1"/>
          <w:numId w:val="5"/>
        </w:num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304" w:name="_bookmark32"/>
      <w:bookmarkEnd w:id="304"/>
      <w:bookmarkStart w:id="305" w:name="_Toc168661357"/>
      <w:bookmarkStart w:id="306" w:name="_Toc201914704"/>
      <w:bookmarkStart w:id="307" w:name="_Toc168491017"/>
      <w:bookmarkStart w:id="308" w:name="_Toc168658913"/>
      <w:bookmarkStart w:id="309" w:name="_Toc168500145"/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实施方案</w:t>
      </w:r>
      <w:bookmarkEnd w:id="305"/>
      <w:bookmarkEnd w:id="306"/>
      <w:bookmarkEnd w:id="307"/>
      <w:bookmarkEnd w:id="308"/>
      <w:bookmarkEnd w:id="309"/>
    </w:p>
    <w:p w14:paraId="17E7EFE0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310" w:name="_Toc168658914"/>
      <w:bookmarkStart w:id="311" w:name="_Toc168661358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合作模式</w:t>
      </w:r>
      <w:bookmarkEnd w:id="310"/>
      <w:bookmarkEnd w:id="311"/>
    </w:p>
    <w:p w14:paraId="37EA2590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建设“村集体+企业+农户”的经营合作模式。村集体负责发展规划、制度设计和市场监管。企业负责租赁村庄土地，投资建设农业基地、基础设施、组织客源。本村居民可通过提供服务、入股等形式参与经营。通过在村庄内部开展耕地出租，免费农技服务，农家餐饮等，企业与村民合作，带动村集体与村民收入。</w:t>
      </w:r>
    </w:p>
    <w:p w14:paraId="2CAFE034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312" w:name="_Toc168658915"/>
      <w:bookmarkStart w:id="313" w:name="_Toc168661359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项目实施策划</w:t>
      </w:r>
      <w:bookmarkEnd w:id="312"/>
      <w:bookmarkEnd w:id="313"/>
    </w:p>
    <w:p w14:paraId="7238EB07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针对村庄的项目改造实施，对规划提出对每一个具体项目进行策划，编制《项目策划书》。项目策划书应对项目建设目的、项目参与人员、项目改造内容、村民参与步骤、项目意见征求方式、参与建设的可能性等提出具体的策划建议，并通过村民代表大会进行沟通。</w:t>
      </w:r>
    </w:p>
    <w:p w14:paraId="7FDD0594">
      <w:pPr>
        <w:spacing w:before="100" w:beforeAutospacing="1" w:after="100" w:afterAutospacing="1" w:line="360" w:lineRule="auto"/>
        <w:ind w:left="770" w:hanging="770" w:hangingChars="350"/>
        <w:contextualSpacing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sectPr>
          <w:pgSz w:w="11910" w:h="16840"/>
          <w:pgMar w:top="1134" w:right="1440" w:bottom="1134" w:left="1440" w:header="850" w:footer="850" w:gutter="0"/>
          <w:cols w:space="720" w:num="1"/>
          <w:docGrid w:linePitch="299" w:charSpace="0"/>
        </w:sectPr>
      </w:pPr>
    </w:p>
    <w:p w14:paraId="0B447247">
      <w:pPr>
        <w:pStyle w:val="2"/>
        <w:spacing w:before="48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314" w:name="_bookmark33"/>
      <w:bookmarkEnd w:id="314"/>
      <w:bookmarkStart w:id="315" w:name="_Toc168661360"/>
      <w:bookmarkStart w:id="316" w:name="_Toc201914705"/>
      <w:bookmarkStart w:id="317" w:name="_Toc168491018"/>
      <w:bookmarkStart w:id="318" w:name="_Toc168658916"/>
      <w:bookmarkStart w:id="319" w:name="_Toc168500146"/>
      <w:r>
        <w:rPr>
          <w:color w:val="000000" w:themeColor="text1"/>
          <w14:textFill>
            <w14:solidFill>
              <w14:schemeClr w14:val="tx1"/>
            </w14:solidFill>
          </w14:textFill>
        </w:rPr>
        <w:t>附则</w:t>
      </w:r>
      <w:bookmarkEnd w:id="315"/>
      <w:bookmarkEnd w:id="316"/>
      <w:bookmarkEnd w:id="317"/>
      <w:bookmarkEnd w:id="318"/>
      <w:bookmarkEnd w:id="319"/>
    </w:p>
    <w:p w14:paraId="5BE0D593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320" w:name="_Toc168658917"/>
      <w:bookmarkStart w:id="321" w:name="_Toc168661361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文本的法律效力</w:t>
      </w:r>
      <w:bookmarkEnd w:id="320"/>
      <w:bookmarkEnd w:id="321"/>
    </w:p>
    <w:p w14:paraId="5B6E42B1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本规划由文本、图纸和说明书组成，规划文本和图纸具有同等的法律效力。</w:t>
      </w:r>
    </w:p>
    <w:p w14:paraId="57F8D807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322" w:name="_Toc168661363"/>
      <w:bookmarkStart w:id="323" w:name="_Toc168658919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规划的组织实施</w:t>
      </w:r>
      <w:bookmarkEnd w:id="322"/>
      <w:bookmarkEnd w:id="323"/>
    </w:p>
    <w:p w14:paraId="00846188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本规划由昌图县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老四平镇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人民政府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会同村“两委”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组织编制及实施，自批准之日起生效，本规划的实施细则由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老四平镇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人民政府制定。</w:t>
      </w:r>
    </w:p>
    <w:p w14:paraId="719E61D7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324" w:name="_Toc168658920"/>
      <w:bookmarkStart w:id="325" w:name="_Toc168661364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规划的解释权</w:t>
      </w:r>
      <w:bookmarkEnd w:id="324"/>
      <w:bookmarkEnd w:id="325"/>
    </w:p>
    <w:p w14:paraId="641C613A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本规划由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老四平镇</w:t>
      </w: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人民政府负责解释。</w:t>
      </w:r>
    </w:p>
    <w:p w14:paraId="2FCAD7A5">
      <w:pPr>
        <w:pStyle w:val="5"/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326" w:name="_Toc168658921"/>
      <w:bookmarkStart w:id="327" w:name="_Toc168661365"/>
      <w:r>
        <w:rPr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规划的修改</w:t>
      </w:r>
      <w:bookmarkEnd w:id="326"/>
      <w:bookmarkEnd w:id="327"/>
    </w:p>
    <w:p w14:paraId="7652153B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在规划期内，本规划如有不适应村庄的经济发展和村庄建设时，可依据有关法规对规划进行调整，并报请原审批部门批准。修改村庄规划，须经村民会议或者村民代表大会讨论同意后，由有编制资质的单位修改，上报原审批单位批准后方可执行。</w:t>
      </w:r>
    </w:p>
    <w:p w14:paraId="1A5E17AB">
      <w:pPr>
        <w:widowControl/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sectPr>
          <w:headerReference r:id="rId17" w:type="default"/>
          <w:headerReference r:id="rId18" w:type="even"/>
          <w:pgSz w:w="11910" w:h="16840"/>
          <w:pgMar w:top="1134" w:right="1440" w:bottom="1134" w:left="1440" w:header="851" w:footer="850" w:gutter="0"/>
          <w:cols w:space="425" w:num="1"/>
          <w:docGrid w:linePitch="312" w:charSpace="0"/>
        </w:sectPr>
      </w:pPr>
    </w:p>
    <w:p w14:paraId="7CC331DE">
      <w:pPr>
        <w:widowControl/>
        <w:jc w:val="center"/>
        <w:rPr>
          <w:rFonts w:hint="eastAsia" w:ascii="仿宋" w:hAnsi="仿宋" w:eastAsia="仿宋"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8296910" cy="5870575"/>
            <wp:effectExtent l="0" t="0" r="8890" b="0"/>
            <wp:docPr id="106566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6875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5592" cy="588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br w:type="page"/>
      </w:r>
    </w:p>
    <w:p w14:paraId="2B4CEE50">
      <w:pPr>
        <w:pStyle w:val="6"/>
        <w:adjustRightInd w:val="0"/>
        <w:snapToGrid w:val="0"/>
        <w:spacing w:before="120" w:beforeLines="50" w:after="120" w:afterLines="50" w:line="360" w:lineRule="auto"/>
        <w:ind w:left="1021"/>
        <w:jc w:val="both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8105140" cy="5734050"/>
            <wp:effectExtent l="0" t="0" r="0" b="0"/>
            <wp:docPr id="12188194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19431" name="图片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514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40" w:h="11910" w:orient="landscape"/>
      <w:pgMar w:top="1440" w:right="1134" w:bottom="1440" w:left="1134" w:header="851" w:footer="850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F57A98A-A3FB-4F86-B98C-68EEA690C57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93F9C4B3-2A44-47D2-A8B2-B40F7ACF6E3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A89D945-25B3-4EEF-81D6-0A58DEB32C7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4F3D2F16-9CA1-44E4-B70F-040DD85F1662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5" w:fontKey="{285C2C9A-5A29-45B8-A59A-70BC6BBD696B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8682241"/>
    </w:sdtPr>
    <w:sdtContent>
      <w:p w14:paraId="239B7EE6">
        <w:pPr>
          <w:pStyle w:val="18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44923895"/>
    </w:sdtPr>
    <w:sdtContent>
      <w:p w14:paraId="42180AE7">
        <w:pPr>
          <w:pStyle w:val="18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001490">
    <w:pPr>
      <w:pStyle w:val="18"/>
      <w:rPr>
        <w:rFonts w:hint="eastAsi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26256397"/>
    </w:sdtPr>
    <w:sdtContent>
      <w:p w14:paraId="18E23CEA">
        <w:pPr>
          <w:pStyle w:val="18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40429849"/>
    </w:sdtPr>
    <w:sdtContent>
      <w:p w14:paraId="06C647B7">
        <w:pPr>
          <w:pStyle w:val="18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63233058"/>
    </w:sdtPr>
    <w:sdtContent>
      <w:p w14:paraId="3D5E0BC3">
        <w:pPr>
          <w:pStyle w:val="18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BF61340">
    <w:pPr>
      <w:spacing w:line="14" w:lineRule="auto"/>
      <w:rPr>
        <w:rFonts w:hint="eastAsia"/>
        <w:sz w:val="24"/>
        <w:szCs w:val="2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72564091"/>
    </w:sdtPr>
    <w:sdtContent>
      <w:p w14:paraId="6747EDAA">
        <w:pPr>
          <w:pStyle w:val="18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D757E94">
    <w:pPr>
      <w:spacing w:line="14" w:lineRule="auto"/>
      <w:rPr>
        <w:rFonts w:hint="eastAsia"/>
        <w:sz w:val="20"/>
        <w:szCs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41120756"/>
    </w:sdtPr>
    <w:sdtContent>
      <w:p w14:paraId="57AE9432">
        <w:pPr>
          <w:pStyle w:val="18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F781841">
    <w:pPr>
      <w:spacing w:line="14" w:lineRule="auto"/>
      <w:rPr>
        <w:rFonts w:hint="eastAsia"/>
        <w:sz w:val="24"/>
        <w:szCs w:val="24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18285277"/>
    </w:sdtPr>
    <w:sdtContent>
      <w:p w14:paraId="57CD9820">
        <w:pPr>
          <w:pStyle w:val="18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551E57C">
    <w:pPr>
      <w:spacing w:line="14" w:lineRule="auto"/>
      <w:rPr>
        <w:rFonts w:hint="eastAsia"/>
        <w:sz w:val="20"/>
        <w:szCs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AEF6C9">
    <w:pPr>
      <w:pBdr>
        <w:bottom w:val="single" w:color="auto" w:sz="4" w:space="1"/>
      </w:pBdr>
      <w:tabs>
        <w:tab w:val="right" w:pos="9310"/>
      </w:tabs>
      <w:adjustRightInd w:val="0"/>
      <w:snapToGrid w:val="0"/>
      <w:jc w:val="right"/>
      <w:rPr>
        <w:rFonts w:hint="eastAsia" w:ascii="仿宋_GB2312" w:eastAsia="仿宋_GB2312"/>
        <w:sz w:val="21"/>
        <w:szCs w:val="21"/>
        <w:lang w:eastAsia="zh-CN"/>
      </w:rPr>
    </w:pPr>
    <w:r>
      <w:rPr>
        <w:rFonts w:hint="eastAsia" w:ascii="仿宋_GB2312" w:eastAsia="仿宋_GB2312"/>
        <w:sz w:val="21"/>
        <w:szCs w:val="21"/>
        <w:lang w:eastAsia="zh-CN"/>
      </w:rPr>
      <w:t>昌图县老四平镇陈家油坊村村庄规划（2021-2035年）—公示稿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A99131">
    <w:pPr>
      <w:pBdr>
        <w:bottom w:val="single" w:color="auto" w:sz="4" w:space="1"/>
      </w:pBdr>
      <w:tabs>
        <w:tab w:val="right" w:pos="9310"/>
      </w:tabs>
      <w:adjustRightInd w:val="0"/>
      <w:snapToGrid w:val="0"/>
      <w:jc w:val="right"/>
      <w:rPr>
        <w:rFonts w:hint="eastAsia" w:ascii="仿宋_GB2312" w:eastAsia="仿宋_GB2312"/>
        <w:sz w:val="21"/>
        <w:szCs w:val="21"/>
        <w:lang w:eastAsia="zh-CN"/>
      </w:rPr>
    </w:pPr>
    <w:r>
      <w:rPr>
        <w:rFonts w:hint="eastAsia" w:ascii="仿宋_GB2312" w:eastAsia="仿宋_GB2312"/>
        <w:sz w:val="21"/>
        <w:szCs w:val="21"/>
        <w:lang w:eastAsia="zh-CN"/>
      </w:rPr>
      <w:t>昌图县老四平镇</w:t>
    </w:r>
    <w:r>
      <w:rPr>
        <w:rFonts w:hint="eastAsia" w:ascii="仿宋_GB2312" w:eastAsia="仿宋_GB2312"/>
        <w:sz w:val="21"/>
        <w:szCs w:val="21"/>
        <w:highlight w:val="yellow"/>
        <w:lang w:eastAsia="zh-CN"/>
      </w:rPr>
      <w:t>陈家油坊村</w:t>
    </w:r>
    <w:r>
      <w:rPr>
        <w:rFonts w:hint="eastAsia" w:ascii="仿宋_GB2312" w:eastAsia="仿宋_GB2312"/>
        <w:sz w:val="21"/>
        <w:szCs w:val="21"/>
        <w:lang w:eastAsia="zh-CN"/>
      </w:rPr>
      <w:t>村庄规划（2021-2035年）—文本</w:t>
    </w:r>
  </w:p>
  <w:p w14:paraId="7E33D9D7">
    <w:pPr>
      <w:pStyle w:val="19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E59FF">
    <w:pPr>
      <w:pStyle w:val="19"/>
      <w:rPr>
        <w:rFonts w:hint="eastAsia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AC539E">
    <w:pPr>
      <w:pBdr>
        <w:bottom w:val="single" w:color="auto" w:sz="4" w:space="1"/>
      </w:pBdr>
      <w:tabs>
        <w:tab w:val="right" w:pos="9310"/>
      </w:tabs>
      <w:adjustRightInd w:val="0"/>
      <w:snapToGrid w:val="0"/>
      <w:jc w:val="right"/>
      <w:rPr>
        <w:rFonts w:hint="eastAsia" w:ascii="仿宋_GB2312" w:eastAsia="仿宋_GB2312"/>
        <w:sz w:val="21"/>
        <w:szCs w:val="21"/>
        <w:lang w:eastAsia="zh-CN"/>
      </w:rPr>
    </w:pPr>
    <w:r>
      <w:rPr>
        <w:rFonts w:hint="eastAsia" w:ascii="仿宋_GB2312" w:eastAsia="仿宋_GB2312"/>
        <w:sz w:val="21"/>
        <w:szCs w:val="21"/>
        <w:lang w:eastAsia="zh-CN"/>
      </w:rPr>
      <w:t>昌图县老四平镇陈家油坊村村庄规划（2021-2035年）—文本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9E58D">
    <w:pPr>
      <w:pBdr>
        <w:bottom w:val="single" w:color="auto" w:sz="4" w:space="1"/>
      </w:pBdr>
      <w:tabs>
        <w:tab w:val="right" w:pos="9310"/>
      </w:tabs>
      <w:adjustRightInd w:val="0"/>
      <w:snapToGrid w:val="0"/>
      <w:jc w:val="right"/>
      <w:rPr>
        <w:rFonts w:hint="eastAsia" w:ascii="仿宋_GB2312" w:eastAsia="仿宋_GB2312"/>
        <w:sz w:val="21"/>
        <w:szCs w:val="21"/>
        <w:lang w:eastAsia="zh-CN"/>
      </w:rPr>
    </w:pPr>
    <w:r>
      <w:rPr>
        <w:rFonts w:hint="eastAsia" w:ascii="仿宋_GB2312" w:eastAsia="仿宋_GB2312"/>
        <w:sz w:val="21"/>
        <w:szCs w:val="21"/>
        <w:lang w:eastAsia="zh-CN"/>
      </w:rPr>
      <w:t>昌图县老四平镇</w:t>
    </w:r>
    <w:r>
      <w:rPr>
        <w:rFonts w:hint="eastAsia" w:ascii="仿宋_GB2312" w:eastAsia="仿宋_GB2312"/>
        <w:sz w:val="21"/>
        <w:szCs w:val="21"/>
        <w:highlight w:val="yellow"/>
        <w:lang w:eastAsia="zh-CN"/>
      </w:rPr>
      <w:t>陈家油坊村</w:t>
    </w:r>
    <w:r>
      <w:rPr>
        <w:rFonts w:hint="eastAsia" w:ascii="仿宋_GB2312" w:eastAsia="仿宋_GB2312"/>
        <w:sz w:val="21"/>
        <w:szCs w:val="21"/>
        <w:lang w:eastAsia="zh-CN"/>
      </w:rPr>
      <w:t>村庄规划（2021-2035年）——文本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23D70D">
    <w:pPr>
      <w:pBdr>
        <w:bottom w:val="single" w:color="auto" w:sz="4" w:space="1"/>
      </w:pBdr>
      <w:tabs>
        <w:tab w:val="right" w:pos="9310"/>
      </w:tabs>
      <w:adjustRightInd w:val="0"/>
      <w:snapToGrid w:val="0"/>
      <w:jc w:val="right"/>
      <w:rPr>
        <w:rFonts w:hint="eastAsia" w:ascii="仿宋_GB2312" w:eastAsia="仿宋_GB2312"/>
        <w:color w:val="000000" w:themeColor="text1"/>
        <w:sz w:val="21"/>
        <w:szCs w:val="21"/>
        <w:lang w:eastAsia="zh-CN"/>
        <w14:textFill>
          <w14:solidFill>
            <w14:schemeClr w14:val="tx1"/>
          </w14:solidFill>
        </w14:textFill>
      </w:rPr>
    </w:pPr>
    <w:r>
      <w:rPr>
        <w:rFonts w:hint="eastAsia" w:ascii="仿宋_GB2312" w:eastAsia="仿宋_GB2312"/>
        <w:color w:val="000000" w:themeColor="text1"/>
        <w:sz w:val="21"/>
        <w:szCs w:val="21"/>
        <w:lang w:eastAsia="zh-CN"/>
        <w14:textFill>
          <w14:solidFill>
            <w14:schemeClr w14:val="tx1"/>
          </w14:solidFill>
        </w14:textFill>
      </w:rPr>
      <w:t>昌图县老四平镇陈家油坊村村庄规划（2021-2035年）——文本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09F5A5">
    <w:pPr>
      <w:spacing w:line="14" w:lineRule="auto"/>
      <w:rPr>
        <w:rFonts w:hint="eastAsi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4D0BAB"/>
    <w:multiLevelType w:val="multilevel"/>
    <w:tmpl w:val="234D0BAB"/>
    <w:lvl w:ilvl="0" w:tentative="0">
      <w:start w:val="1"/>
      <w:numFmt w:val="chineseCountingThousand"/>
      <w:pStyle w:val="4"/>
      <w:lvlText w:val="第%1节"/>
      <w:lvlJc w:val="left"/>
      <w:pPr>
        <w:ind w:left="0" w:firstLine="0"/>
      </w:pPr>
      <w:rPr>
        <w:rFonts w:hint="eastAsia" w:ascii="仿宋_GB2312" w:eastAsia="仿宋_GB2312"/>
        <w:b/>
        <w:i w:val="0"/>
        <w:sz w:val="32"/>
        <w:szCs w:val="28"/>
      </w:rPr>
    </w:lvl>
    <w:lvl w:ilvl="1" w:tentative="0">
      <w:start w:val="1"/>
      <w:numFmt w:val="chineseCountingThousand"/>
      <w:lvlText w:val="第%2节"/>
      <w:lvlJc w:val="left"/>
      <w:pPr>
        <w:ind w:left="0" w:firstLine="0"/>
      </w:pPr>
      <w:rPr>
        <w:rFonts w:hint="eastAsia" w:ascii="仿宋_GB2312" w:eastAsia="仿宋_GB2312"/>
        <w:b/>
        <w:i w:val="0"/>
        <w:sz w:val="32"/>
      </w:rPr>
    </w:lvl>
    <w:lvl w:ilvl="2" w:tentative="0">
      <w:start w:val="1"/>
      <w:numFmt w:val="decimal"/>
      <w:lvlText w:val="第%3条"/>
      <w:lvlJc w:val="left"/>
      <w:pPr>
        <w:ind w:left="0" w:firstLine="0"/>
      </w:pPr>
      <w:rPr>
        <w:rFonts w:hint="eastAsia" w:eastAsia="仿宋_GB2312"/>
        <w:b/>
        <w:i w:val="0"/>
        <w:sz w:val="28"/>
      </w:rPr>
    </w:lvl>
    <w:lvl w:ilvl="3" w:tentative="0">
      <w:start w:val="1"/>
      <w:numFmt w:val="lowerRoman"/>
      <w:lvlText w:val="(%4)"/>
      <w:lvlJc w:val="right"/>
      <w:pPr>
        <w:ind w:left="864" w:hanging="144"/>
      </w:pPr>
      <w:rPr>
        <w:rFonts w:hint="eastAsia"/>
      </w:rPr>
    </w:lvl>
    <w:lvl w:ilvl="4" w:tentative="0">
      <w:start w:val="1"/>
      <w:numFmt w:val="decimal"/>
      <w:lvlText w:val="%5)"/>
      <w:lvlJc w:val="left"/>
      <w:pPr>
        <w:ind w:left="1008" w:hanging="432"/>
      </w:pPr>
      <w:rPr>
        <w:rFonts w:hint="eastAsia"/>
      </w:rPr>
    </w:lvl>
    <w:lvl w:ilvl="5" w:tentative="0">
      <w:start w:val="1"/>
      <w:numFmt w:val="lowerLetter"/>
      <w:lvlText w:val="%6)"/>
      <w:lvlJc w:val="left"/>
      <w:pPr>
        <w:ind w:left="1152" w:hanging="432"/>
      </w:pPr>
      <w:rPr>
        <w:rFonts w:hint="eastAsia"/>
      </w:rPr>
    </w:lvl>
    <w:lvl w:ilvl="6" w:tentative="0">
      <w:start w:val="1"/>
      <w:numFmt w:val="lowerRoman"/>
      <w:lvlText w:val="%7)"/>
      <w:lvlJc w:val="right"/>
      <w:pPr>
        <w:ind w:left="1296" w:hanging="288"/>
      </w:pPr>
      <w:rPr>
        <w:rFonts w:hint="eastAsia"/>
      </w:rPr>
    </w:lvl>
    <w:lvl w:ilvl="7" w:tentative="0">
      <w:start w:val="1"/>
      <w:numFmt w:val="lowerLetter"/>
      <w:lvlText w:val="%8."/>
      <w:lvlJc w:val="left"/>
      <w:pPr>
        <w:ind w:left="1440" w:hanging="432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1584" w:hanging="144"/>
      </w:pPr>
      <w:rPr>
        <w:rFonts w:hint="eastAsia"/>
      </w:rPr>
    </w:lvl>
  </w:abstractNum>
  <w:abstractNum w:abstractNumId="1">
    <w:nsid w:val="4C9C3D35"/>
    <w:multiLevelType w:val="multilevel"/>
    <w:tmpl w:val="4C9C3D35"/>
    <w:lvl w:ilvl="0" w:tentative="0">
      <w:start w:val="1"/>
      <w:numFmt w:val="chineseCountingThousand"/>
      <w:pStyle w:val="2"/>
      <w:lvlText w:val="第%1章"/>
      <w:lvlJc w:val="left"/>
      <w:pPr>
        <w:ind w:left="0" w:firstLine="0"/>
      </w:pPr>
      <w:rPr>
        <w:rFonts w:hint="eastAsia" w:ascii="仿宋_GB2312" w:eastAsia="仿宋_GB2312"/>
        <w:b/>
        <w:i w:val="0"/>
        <w:sz w:val="36"/>
        <w:szCs w:val="28"/>
      </w:rPr>
    </w:lvl>
    <w:lvl w:ilvl="1" w:tentative="0">
      <w:start w:val="1"/>
      <w:numFmt w:val="decimalZero"/>
      <w:isLgl/>
      <w:lvlText w:val="节 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lvlRestart w:val="0"/>
      <w:pStyle w:val="5"/>
      <w:lvlText w:val="第%3条"/>
      <w:lvlJc w:val="left"/>
      <w:pPr>
        <w:ind w:left="0" w:firstLine="0"/>
      </w:pPr>
      <w:rPr>
        <w:rFonts w:hint="eastAsia" w:ascii="仿宋_GB2312" w:eastAsia="仿宋_GB2312"/>
        <w:b/>
        <w:i w:val="0"/>
        <w:sz w:val="28"/>
      </w:rPr>
    </w:lvl>
    <w:lvl w:ilvl="3" w:tentative="0">
      <w:start w:val="1"/>
      <w:numFmt w:val="lowerRoman"/>
      <w:pStyle w:val="7"/>
      <w:lvlText w:val="(%4)"/>
      <w:lvlJc w:val="right"/>
      <w:pPr>
        <w:ind w:left="864" w:hanging="144"/>
      </w:pPr>
      <w:rPr>
        <w:rFonts w:hint="eastAsia"/>
      </w:rPr>
    </w:lvl>
    <w:lvl w:ilvl="4" w:tentative="0">
      <w:start w:val="1"/>
      <w:numFmt w:val="decimal"/>
      <w:pStyle w:val="8"/>
      <w:lvlText w:val="%5)"/>
      <w:lvlJc w:val="left"/>
      <w:pPr>
        <w:ind w:left="1008" w:hanging="432"/>
      </w:pPr>
      <w:rPr>
        <w:rFonts w:hint="eastAsia"/>
      </w:rPr>
    </w:lvl>
    <w:lvl w:ilvl="5" w:tentative="0">
      <w:start w:val="1"/>
      <w:numFmt w:val="lowerLetter"/>
      <w:pStyle w:val="9"/>
      <w:lvlText w:val="%6)"/>
      <w:lvlJc w:val="left"/>
      <w:pPr>
        <w:ind w:left="1152" w:hanging="432"/>
      </w:pPr>
      <w:rPr>
        <w:rFonts w:hint="eastAsia"/>
      </w:rPr>
    </w:lvl>
    <w:lvl w:ilvl="6" w:tentative="0">
      <w:start w:val="1"/>
      <w:numFmt w:val="lowerRoman"/>
      <w:pStyle w:val="10"/>
      <w:lvlText w:val="%7)"/>
      <w:lvlJc w:val="right"/>
      <w:pPr>
        <w:ind w:left="1296" w:hanging="288"/>
      </w:pPr>
      <w:rPr>
        <w:rFonts w:hint="eastAsia"/>
      </w:rPr>
    </w:lvl>
    <w:lvl w:ilvl="7" w:tentative="0">
      <w:start w:val="1"/>
      <w:numFmt w:val="lowerLetter"/>
      <w:pStyle w:val="11"/>
      <w:lvlText w:val="%8."/>
      <w:lvlJc w:val="left"/>
      <w:pPr>
        <w:ind w:left="1440" w:hanging="432"/>
      </w:pPr>
      <w:rPr>
        <w:rFonts w:hint="eastAsia"/>
      </w:rPr>
    </w:lvl>
    <w:lvl w:ilvl="8" w:tentative="0">
      <w:start w:val="1"/>
      <w:numFmt w:val="lowerRoman"/>
      <w:pStyle w:val="12"/>
      <w:lvlText w:val="%9."/>
      <w:lvlJc w:val="right"/>
      <w:pPr>
        <w:ind w:left="1584" w:hanging="144"/>
      </w:pPr>
      <w:rPr>
        <w:rFonts w:hint="eastAsia"/>
      </w:rPr>
    </w:lvl>
  </w:abstractNum>
  <w:abstractNum w:abstractNumId="2">
    <w:nsid w:val="6690770A"/>
    <w:multiLevelType w:val="multilevel"/>
    <w:tmpl w:val="6690770A"/>
    <w:lvl w:ilvl="0" w:tentative="0">
      <w:start w:val="1"/>
      <w:numFmt w:val="decimal"/>
      <w:pStyle w:val="53"/>
      <w:lvlText w:val="%1."/>
      <w:lvlJc w:val="left"/>
      <w:pPr>
        <w:ind w:left="440" w:hanging="440"/>
      </w:pPr>
      <w:rPr>
        <w:rFonts w:hint="eastAsia" w:eastAsia="楷体_GB2312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saveSubsetFonts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NkOGNjY2I4YmIyNjNkMTE3NDJkMTlmNTc2MjdkOWIifQ=="/>
  </w:docVars>
  <w:rsids>
    <w:rsidRoot w:val="00CD0410"/>
    <w:rsid w:val="00000E0C"/>
    <w:rsid w:val="000024C9"/>
    <w:rsid w:val="00006023"/>
    <w:rsid w:val="00006B0D"/>
    <w:rsid w:val="000154A4"/>
    <w:rsid w:val="000263CD"/>
    <w:rsid w:val="00027AAB"/>
    <w:rsid w:val="00030B5F"/>
    <w:rsid w:val="00033F2B"/>
    <w:rsid w:val="00033FA9"/>
    <w:rsid w:val="000372FE"/>
    <w:rsid w:val="000418A8"/>
    <w:rsid w:val="0004569D"/>
    <w:rsid w:val="000461E7"/>
    <w:rsid w:val="00065D81"/>
    <w:rsid w:val="00065FFB"/>
    <w:rsid w:val="00093044"/>
    <w:rsid w:val="000B7B06"/>
    <w:rsid w:val="000C7947"/>
    <w:rsid w:val="000D67BA"/>
    <w:rsid w:val="000E44DE"/>
    <w:rsid w:val="000E4C48"/>
    <w:rsid w:val="000F6A7A"/>
    <w:rsid w:val="00102CA5"/>
    <w:rsid w:val="0010770B"/>
    <w:rsid w:val="00112C26"/>
    <w:rsid w:val="0012160B"/>
    <w:rsid w:val="0012199E"/>
    <w:rsid w:val="0012544C"/>
    <w:rsid w:val="00126D66"/>
    <w:rsid w:val="001503C7"/>
    <w:rsid w:val="00152791"/>
    <w:rsid w:val="00163221"/>
    <w:rsid w:val="001676A0"/>
    <w:rsid w:val="00177E53"/>
    <w:rsid w:val="0018075B"/>
    <w:rsid w:val="001809C8"/>
    <w:rsid w:val="00183658"/>
    <w:rsid w:val="00193630"/>
    <w:rsid w:val="001A107B"/>
    <w:rsid w:val="001B179B"/>
    <w:rsid w:val="001B422F"/>
    <w:rsid w:val="001C550F"/>
    <w:rsid w:val="001C6DC3"/>
    <w:rsid w:val="001C726C"/>
    <w:rsid w:val="001D4401"/>
    <w:rsid w:val="001D55E9"/>
    <w:rsid w:val="001E4284"/>
    <w:rsid w:val="001F1DE8"/>
    <w:rsid w:val="001F4AEF"/>
    <w:rsid w:val="001F5D84"/>
    <w:rsid w:val="001F728E"/>
    <w:rsid w:val="002004EA"/>
    <w:rsid w:val="00202304"/>
    <w:rsid w:val="00243466"/>
    <w:rsid w:val="00244150"/>
    <w:rsid w:val="00244B10"/>
    <w:rsid w:val="002551F7"/>
    <w:rsid w:val="00256754"/>
    <w:rsid w:val="00264453"/>
    <w:rsid w:val="00271EA5"/>
    <w:rsid w:val="002A40CD"/>
    <w:rsid w:val="002A530D"/>
    <w:rsid w:val="002A7DFC"/>
    <w:rsid w:val="002B03E6"/>
    <w:rsid w:val="002C06DC"/>
    <w:rsid w:val="002C08F7"/>
    <w:rsid w:val="002E0290"/>
    <w:rsid w:val="002E64EE"/>
    <w:rsid w:val="002E6D70"/>
    <w:rsid w:val="002F04E6"/>
    <w:rsid w:val="002F734C"/>
    <w:rsid w:val="00304F29"/>
    <w:rsid w:val="00305C53"/>
    <w:rsid w:val="003066A4"/>
    <w:rsid w:val="00310C7E"/>
    <w:rsid w:val="00316930"/>
    <w:rsid w:val="003230B9"/>
    <w:rsid w:val="00327C78"/>
    <w:rsid w:val="00346592"/>
    <w:rsid w:val="00354FB0"/>
    <w:rsid w:val="00355E07"/>
    <w:rsid w:val="00362811"/>
    <w:rsid w:val="003813AE"/>
    <w:rsid w:val="0039003F"/>
    <w:rsid w:val="00392E80"/>
    <w:rsid w:val="003A6EE4"/>
    <w:rsid w:val="003B2C83"/>
    <w:rsid w:val="003C74B1"/>
    <w:rsid w:val="003D0EF0"/>
    <w:rsid w:val="003D3EF6"/>
    <w:rsid w:val="003E36C2"/>
    <w:rsid w:val="003F1BE3"/>
    <w:rsid w:val="00406C58"/>
    <w:rsid w:val="004120ED"/>
    <w:rsid w:val="004129A7"/>
    <w:rsid w:val="004219D7"/>
    <w:rsid w:val="00437E17"/>
    <w:rsid w:val="00441DE4"/>
    <w:rsid w:val="00445AC2"/>
    <w:rsid w:val="00445F9F"/>
    <w:rsid w:val="00465531"/>
    <w:rsid w:val="00471ADA"/>
    <w:rsid w:val="004811B9"/>
    <w:rsid w:val="00482D29"/>
    <w:rsid w:val="004865CF"/>
    <w:rsid w:val="00487D3C"/>
    <w:rsid w:val="00495D2B"/>
    <w:rsid w:val="00496011"/>
    <w:rsid w:val="004A3623"/>
    <w:rsid w:val="004A4F49"/>
    <w:rsid w:val="004B15DE"/>
    <w:rsid w:val="004D13FF"/>
    <w:rsid w:val="004D37E0"/>
    <w:rsid w:val="004E27E0"/>
    <w:rsid w:val="004F0025"/>
    <w:rsid w:val="004F3422"/>
    <w:rsid w:val="004F7AB0"/>
    <w:rsid w:val="00503510"/>
    <w:rsid w:val="00511702"/>
    <w:rsid w:val="00513A54"/>
    <w:rsid w:val="005153A6"/>
    <w:rsid w:val="00525986"/>
    <w:rsid w:val="00525B22"/>
    <w:rsid w:val="00537A87"/>
    <w:rsid w:val="00540576"/>
    <w:rsid w:val="00556EDB"/>
    <w:rsid w:val="00564CA8"/>
    <w:rsid w:val="0057210F"/>
    <w:rsid w:val="0058490E"/>
    <w:rsid w:val="005915EA"/>
    <w:rsid w:val="00597B07"/>
    <w:rsid w:val="005A0AE3"/>
    <w:rsid w:val="005C337E"/>
    <w:rsid w:val="005D1EFD"/>
    <w:rsid w:val="005D67A7"/>
    <w:rsid w:val="005E0449"/>
    <w:rsid w:val="005E57AC"/>
    <w:rsid w:val="005F253C"/>
    <w:rsid w:val="0060477C"/>
    <w:rsid w:val="00606370"/>
    <w:rsid w:val="00613877"/>
    <w:rsid w:val="00630D4A"/>
    <w:rsid w:val="00631A49"/>
    <w:rsid w:val="00642A52"/>
    <w:rsid w:val="00650FF6"/>
    <w:rsid w:val="0065594D"/>
    <w:rsid w:val="006568A8"/>
    <w:rsid w:val="0065753E"/>
    <w:rsid w:val="006632AA"/>
    <w:rsid w:val="006769CA"/>
    <w:rsid w:val="006A04F6"/>
    <w:rsid w:val="006B06BC"/>
    <w:rsid w:val="006C6F04"/>
    <w:rsid w:val="006C769F"/>
    <w:rsid w:val="006D2E76"/>
    <w:rsid w:val="006D4667"/>
    <w:rsid w:val="006D7246"/>
    <w:rsid w:val="006F47E1"/>
    <w:rsid w:val="006F68AA"/>
    <w:rsid w:val="0070548D"/>
    <w:rsid w:val="00711F77"/>
    <w:rsid w:val="00713730"/>
    <w:rsid w:val="00723090"/>
    <w:rsid w:val="00727CA6"/>
    <w:rsid w:val="00730BCF"/>
    <w:rsid w:val="00736F4E"/>
    <w:rsid w:val="0074156A"/>
    <w:rsid w:val="007618AF"/>
    <w:rsid w:val="00770B30"/>
    <w:rsid w:val="007766F2"/>
    <w:rsid w:val="00785272"/>
    <w:rsid w:val="00785452"/>
    <w:rsid w:val="007870A2"/>
    <w:rsid w:val="0078767F"/>
    <w:rsid w:val="007907C4"/>
    <w:rsid w:val="00793533"/>
    <w:rsid w:val="007A2EB1"/>
    <w:rsid w:val="007C3221"/>
    <w:rsid w:val="007E4FE6"/>
    <w:rsid w:val="007E6841"/>
    <w:rsid w:val="007F0934"/>
    <w:rsid w:val="007F7F80"/>
    <w:rsid w:val="00811E02"/>
    <w:rsid w:val="00812E5F"/>
    <w:rsid w:val="00822A49"/>
    <w:rsid w:val="008272ED"/>
    <w:rsid w:val="00833D57"/>
    <w:rsid w:val="00840962"/>
    <w:rsid w:val="0086216D"/>
    <w:rsid w:val="0086668C"/>
    <w:rsid w:val="008826EA"/>
    <w:rsid w:val="00882BCC"/>
    <w:rsid w:val="00885262"/>
    <w:rsid w:val="008867F2"/>
    <w:rsid w:val="00886B00"/>
    <w:rsid w:val="00886BC6"/>
    <w:rsid w:val="00892C7E"/>
    <w:rsid w:val="00894F28"/>
    <w:rsid w:val="008B45CC"/>
    <w:rsid w:val="008C6D10"/>
    <w:rsid w:val="008D2D71"/>
    <w:rsid w:val="008D4FE2"/>
    <w:rsid w:val="008E5968"/>
    <w:rsid w:val="008E6FEA"/>
    <w:rsid w:val="008F2BCC"/>
    <w:rsid w:val="008F4CE7"/>
    <w:rsid w:val="008F4DB5"/>
    <w:rsid w:val="009012FD"/>
    <w:rsid w:val="00903D06"/>
    <w:rsid w:val="00903F2F"/>
    <w:rsid w:val="00945E02"/>
    <w:rsid w:val="00946E75"/>
    <w:rsid w:val="00952739"/>
    <w:rsid w:val="009533FE"/>
    <w:rsid w:val="009551D9"/>
    <w:rsid w:val="009572B1"/>
    <w:rsid w:val="00965274"/>
    <w:rsid w:val="00973B72"/>
    <w:rsid w:val="00980184"/>
    <w:rsid w:val="009807C5"/>
    <w:rsid w:val="00981C14"/>
    <w:rsid w:val="00981E62"/>
    <w:rsid w:val="00982267"/>
    <w:rsid w:val="009946BC"/>
    <w:rsid w:val="00997A30"/>
    <w:rsid w:val="009A3446"/>
    <w:rsid w:val="009D0776"/>
    <w:rsid w:val="009D2B19"/>
    <w:rsid w:val="009D4913"/>
    <w:rsid w:val="009F052B"/>
    <w:rsid w:val="00A01AC2"/>
    <w:rsid w:val="00A01D04"/>
    <w:rsid w:val="00A05DCE"/>
    <w:rsid w:val="00A10228"/>
    <w:rsid w:val="00A14F2F"/>
    <w:rsid w:val="00A1793D"/>
    <w:rsid w:val="00A52AE7"/>
    <w:rsid w:val="00A574A4"/>
    <w:rsid w:val="00A77F6B"/>
    <w:rsid w:val="00A875F4"/>
    <w:rsid w:val="00A87E3D"/>
    <w:rsid w:val="00A87F22"/>
    <w:rsid w:val="00AA2E8A"/>
    <w:rsid w:val="00AB37BC"/>
    <w:rsid w:val="00AB3AE9"/>
    <w:rsid w:val="00AB6924"/>
    <w:rsid w:val="00AE0322"/>
    <w:rsid w:val="00AE65FC"/>
    <w:rsid w:val="00AF1C37"/>
    <w:rsid w:val="00AF6AEE"/>
    <w:rsid w:val="00AF6CB2"/>
    <w:rsid w:val="00B03608"/>
    <w:rsid w:val="00B0653D"/>
    <w:rsid w:val="00B06A9A"/>
    <w:rsid w:val="00B25C30"/>
    <w:rsid w:val="00B3129D"/>
    <w:rsid w:val="00B31A76"/>
    <w:rsid w:val="00B33626"/>
    <w:rsid w:val="00B379F3"/>
    <w:rsid w:val="00B405E6"/>
    <w:rsid w:val="00B43B9B"/>
    <w:rsid w:val="00B451F9"/>
    <w:rsid w:val="00B631F8"/>
    <w:rsid w:val="00B718B4"/>
    <w:rsid w:val="00B80017"/>
    <w:rsid w:val="00B8215D"/>
    <w:rsid w:val="00BA37DA"/>
    <w:rsid w:val="00BA6889"/>
    <w:rsid w:val="00BB2602"/>
    <w:rsid w:val="00BB6B2E"/>
    <w:rsid w:val="00BC4C79"/>
    <w:rsid w:val="00BD0F44"/>
    <w:rsid w:val="00BD145E"/>
    <w:rsid w:val="00BD19F6"/>
    <w:rsid w:val="00BD5951"/>
    <w:rsid w:val="00C07563"/>
    <w:rsid w:val="00C10F73"/>
    <w:rsid w:val="00C154F1"/>
    <w:rsid w:val="00C21D25"/>
    <w:rsid w:val="00C27474"/>
    <w:rsid w:val="00C27763"/>
    <w:rsid w:val="00C30868"/>
    <w:rsid w:val="00C47CC9"/>
    <w:rsid w:val="00C502EC"/>
    <w:rsid w:val="00C67031"/>
    <w:rsid w:val="00C772AD"/>
    <w:rsid w:val="00C860F7"/>
    <w:rsid w:val="00C90F99"/>
    <w:rsid w:val="00C9589C"/>
    <w:rsid w:val="00C97A50"/>
    <w:rsid w:val="00CA1DAE"/>
    <w:rsid w:val="00CB3549"/>
    <w:rsid w:val="00CC5F2D"/>
    <w:rsid w:val="00CD0410"/>
    <w:rsid w:val="00CD63D4"/>
    <w:rsid w:val="00D06F7A"/>
    <w:rsid w:val="00D36723"/>
    <w:rsid w:val="00D46D42"/>
    <w:rsid w:val="00D5088C"/>
    <w:rsid w:val="00D622B2"/>
    <w:rsid w:val="00D64AEC"/>
    <w:rsid w:val="00D6759C"/>
    <w:rsid w:val="00D700C8"/>
    <w:rsid w:val="00D7095C"/>
    <w:rsid w:val="00D7260C"/>
    <w:rsid w:val="00D80678"/>
    <w:rsid w:val="00D92B8C"/>
    <w:rsid w:val="00DA524A"/>
    <w:rsid w:val="00DA5678"/>
    <w:rsid w:val="00DB1251"/>
    <w:rsid w:val="00DC4D16"/>
    <w:rsid w:val="00DD764B"/>
    <w:rsid w:val="00DF203A"/>
    <w:rsid w:val="00DF5AB1"/>
    <w:rsid w:val="00DF6CAE"/>
    <w:rsid w:val="00DF7161"/>
    <w:rsid w:val="00E007BC"/>
    <w:rsid w:val="00E15C44"/>
    <w:rsid w:val="00E206EF"/>
    <w:rsid w:val="00E22799"/>
    <w:rsid w:val="00E25415"/>
    <w:rsid w:val="00E35367"/>
    <w:rsid w:val="00E40F11"/>
    <w:rsid w:val="00E41D3F"/>
    <w:rsid w:val="00E4696B"/>
    <w:rsid w:val="00E5398C"/>
    <w:rsid w:val="00E54242"/>
    <w:rsid w:val="00E66A4E"/>
    <w:rsid w:val="00E75AC1"/>
    <w:rsid w:val="00E86698"/>
    <w:rsid w:val="00E92954"/>
    <w:rsid w:val="00E92CD2"/>
    <w:rsid w:val="00EA3AC3"/>
    <w:rsid w:val="00EA4D7C"/>
    <w:rsid w:val="00EB6421"/>
    <w:rsid w:val="00EC1643"/>
    <w:rsid w:val="00ED4548"/>
    <w:rsid w:val="00ED54BD"/>
    <w:rsid w:val="00EE0042"/>
    <w:rsid w:val="00EF56D7"/>
    <w:rsid w:val="00F05865"/>
    <w:rsid w:val="00F1086C"/>
    <w:rsid w:val="00F12B40"/>
    <w:rsid w:val="00F16A9E"/>
    <w:rsid w:val="00F17D4C"/>
    <w:rsid w:val="00F22926"/>
    <w:rsid w:val="00F35F8C"/>
    <w:rsid w:val="00F36BB7"/>
    <w:rsid w:val="00F504CC"/>
    <w:rsid w:val="00F61750"/>
    <w:rsid w:val="00F665A8"/>
    <w:rsid w:val="00F76612"/>
    <w:rsid w:val="00F76FF5"/>
    <w:rsid w:val="00F77CA1"/>
    <w:rsid w:val="00F8602E"/>
    <w:rsid w:val="00FA73AD"/>
    <w:rsid w:val="00FB09D3"/>
    <w:rsid w:val="00FB203E"/>
    <w:rsid w:val="00FC0CB6"/>
    <w:rsid w:val="00FC1DA6"/>
    <w:rsid w:val="00FC6EEE"/>
    <w:rsid w:val="00FD4CB1"/>
    <w:rsid w:val="00FD6BA7"/>
    <w:rsid w:val="00FE7111"/>
    <w:rsid w:val="00FF5CF0"/>
    <w:rsid w:val="34E87055"/>
    <w:rsid w:val="43FD0E01"/>
    <w:rsid w:val="445D0FB0"/>
    <w:rsid w:val="4C062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name="Body Text 2"/>
    <w:lsdException w:qFormat="1"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3"/>
    <w:link w:val="32"/>
    <w:qFormat/>
    <w:uiPriority w:val="9"/>
    <w:pPr>
      <w:numPr>
        <w:ilvl w:val="0"/>
        <w:numId w:val="1"/>
      </w:numPr>
      <w:adjustRightInd w:val="0"/>
      <w:snapToGrid w:val="0"/>
      <w:spacing w:before="200" w:beforeLines="200" w:after="100" w:afterAutospacing="1" w:line="360" w:lineRule="auto"/>
    </w:pPr>
    <w:rPr>
      <w:rFonts w:ascii="仿宋" w:hAnsi="仿宋" w:eastAsia="仿宋_GB2312"/>
      <w:b w:val="0"/>
      <w:bCs w:val="0"/>
      <w:sz w:val="36"/>
      <w:szCs w:val="36"/>
    </w:rPr>
  </w:style>
  <w:style w:type="paragraph" w:styleId="4">
    <w:name w:val="heading 2"/>
    <w:basedOn w:val="3"/>
    <w:next w:val="1"/>
    <w:link w:val="33"/>
    <w:unhideWhenUsed/>
    <w:qFormat/>
    <w:uiPriority w:val="9"/>
    <w:pPr>
      <w:numPr>
        <w:ilvl w:val="0"/>
        <w:numId w:val="2"/>
      </w:numPr>
      <w:outlineLvl w:val="1"/>
    </w:pPr>
    <w:rPr>
      <w:rFonts w:ascii="仿宋" w:hAnsi="仿宋" w:eastAsia="仿宋"/>
      <w:b w:val="0"/>
      <w:bCs w:val="0"/>
    </w:rPr>
  </w:style>
  <w:style w:type="paragraph" w:styleId="5">
    <w:name w:val="heading 3"/>
    <w:basedOn w:val="6"/>
    <w:link w:val="34"/>
    <w:unhideWhenUsed/>
    <w:qFormat/>
    <w:uiPriority w:val="9"/>
    <w:pPr>
      <w:numPr>
        <w:ilvl w:val="2"/>
        <w:numId w:val="1"/>
      </w:numPr>
      <w:outlineLvl w:val="2"/>
    </w:pPr>
    <w:rPr>
      <w:b/>
      <w:bCs/>
    </w:rPr>
  </w:style>
  <w:style w:type="paragraph" w:styleId="7">
    <w:name w:val="heading 4"/>
    <w:basedOn w:val="1"/>
    <w:next w:val="1"/>
    <w:link w:val="39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8">
    <w:name w:val="heading 5"/>
    <w:basedOn w:val="1"/>
    <w:next w:val="1"/>
    <w:link w:val="40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link w:val="41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10">
    <w:name w:val="heading 7"/>
    <w:basedOn w:val="1"/>
    <w:next w:val="1"/>
    <w:link w:val="42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11">
    <w:name w:val="heading 8"/>
    <w:basedOn w:val="1"/>
    <w:next w:val="1"/>
    <w:link w:val="43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2">
    <w:name w:val="heading 9"/>
    <w:basedOn w:val="1"/>
    <w:next w:val="1"/>
    <w:link w:val="44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2"/>
    <w:link w:val="50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Body Text"/>
    <w:basedOn w:val="1"/>
    <w:link w:val="31"/>
    <w:qFormat/>
    <w:uiPriority w:val="1"/>
    <w:pPr>
      <w:spacing w:before="204"/>
      <w:ind w:left="1218"/>
    </w:pPr>
    <w:rPr>
      <w:rFonts w:ascii="仿宋" w:hAnsi="仿宋" w:eastAsia="仿宋"/>
      <w:sz w:val="28"/>
      <w:szCs w:val="28"/>
    </w:rPr>
  </w:style>
  <w:style w:type="paragraph" w:styleId="13">
    <w:name w:val="toc 7"/>
    <w:basedOn w:val="1"/>
    <w:next w:val="1"/>
    <w:autoRedefine/>
    <w:unhideWhenUsed/>
    <w:qFormat/>
    <w:uiPriority w:val="39"/>
    <w:pPr>
      <w:ind w:left="2520" w:leftChars="1200"/>
      <w:jc w:val="both"/>
    </w:pPr>
    <w:rPr>
      <w:kern w:val="2"/>
      <w:sz w:val="21"/>
      <w:lang w:eastAsia="zh-CN"/>
      <w14:ligatures w14:val="standardContextual"/>
    </w:rPr>
  </w:style>
  <w:style w:type="paragraph" w:styleId="14">
    <w:name w:val="Body Text 3"/>
    <w:basedOn w:val="1"/>
    <w:link w:val="46"/>
    <w:semiHidden/>
    <w:unhideWhenUsed/>
    <w:qFormat/>
    <w:uiPriority w:val="99"/>
    <w:pPr>
      <w:spacing w:after="120"/>
    </w:pPr>
    <w:rPr>
      <w:sz w:val="16"/>
      <w:szCs w:val="16"/>
    </w:rPr>
  </w:style>
  <w:style w:type="paragraph" w:styleId="15">
    <w:name w:val="toc 5"/>
    <w:basedOn w:val="1"/>
    <w:next w:val="1"/>
    <w:autoRedefine/>
    <w:unhideWhenUsed/>
    <w:qFormat/>
    <w:uiPriority w:val="39"/>
    <w:pPr>
      <w:ind w:left="1680" w:leftChars="800"/>
      <w:jc w:val="both"/>
    </w:pPr>
    <w:rPr>
      <w:kern w:val="2"/>
      <w:sz w:val="21"/>
      <w:lang w:eastAsia="zh-CN"/>
      <w14:ligatures w14:val="standardContextual"/>
    </w:rPr>
  </w:style>
  <w:style w:type="paragraph" w:styleId="16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</w:pPr>
    <w:rPr>
      <w:rFonts w:cs="Times New Roman"/>
      <w:lang w:eastAsia="zh-CN"/>
    </w:rPr>
  </w:style>
  <w:style w:type="paragraph" w:styleId="17">
    <w:name w:val="toc 8"/>
    <w:basedOn w:val="1"/>
    <w:next w:val="1"/>
    <w:autoRedefine/>
    <w:unhideWhenUsed/>
    <w:qFormat/>
    <w:uiPriority w:val="39"/>
    <w:pPr>
      <w:ind w:left="2940" w:leftChars="1400"/>
      <w:jc w:val="both"/>
    </w:pPr>
    <w:rPr>
      <w:kern w:val="2"/>
      <w:sz w:val="21"/>
      <w:lang w:eastAsia="zh-CN"/>
      <w14:ligatures w14:val="standardContextual"/>
    </w:rPr>
  </w:style>
  <w:style w:type="paragraph" w:styleId="18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kern w:val="2"/>
      <w:sz w:val="18"/>
      <w:szCs w:val="18"/>
      <w:lang w:eastAsia="zh-CN"/>
    </w:rPr>
  </w:style>
  <w:style w:type="paragraph" w:styleId="19">
    <w:name w:val="head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  <w:lang w:eastAsia="zh-CN"/>
    </w:rPr>
  </w:style>
  <w:style w:type="paragraph" w:styleId="20">
    <w:name w:val="toc 1"/>
    <w:basedOn w:val="1"/>
    <w:qFormat/>
    <w:uiPriority w:val="39"/>
    <w:pPr>
      <w:spacing w:before="169"/>
      <w:ind w:left="140"/>
    </w:pPr>
    <w:rPr>
      <w:rFonts w:ascii="仿宋" w:hAnsi="仿宋" w:eastAsia="仿宋"/>
      <w:sz w:val="28"/>
      <w:szCs w:val="28"/>
    </w:rPr>
  </w:style>
  <w:style w:type="paragraph" w:styleId="21">
    <w:name w:val="toc 4"/>
    <w:basedOn w:val="1"/>
    <w:next w:val="1"/>
    <w:autoRedefine/>
    <w:unhideWhenUsed/>
    <w:qFormat/>
    <w:uiPriority w:val="39"/>
    <w:pPr>
      <w:ind w:left="1260" w:leftChars="600"/>
      <w:jc w:val="both"/>
    </w:pPr>
    <w:rPr>
      <w:kern w:val="2"/>
      <w:sz w:val="21"/>
      <w:lang w:eastAsia="zh-CN"/>
      <w14:ligatures w14:val="standardContextual"/>
    </w:rPr>
  </w:style>
  <w:style w:type="paragraph" w:styleId="22">
    <w:name w:val="toc 6"/>
    <w:basedOn w:val="1"/>
    <w:next w:val="1"/>
    <w:autoRedefine/>
    <w:unhideWhenUsed/>
    <w:qFormat/>
    <w:uiPriority w:val="39"/>
    <w:pPr>
      <w:ind w:left="2100" w:leftChars="1000"/>
      <w:jc w:val="both"/>
    </w:pPr>
    <w:rPr>
      <w:kern w:val="2"/>
      <w:sz w:val="21"/>
      <w:lang w:eastAsia="zh-CN"/>
      <w14:ligatures w14:val="standardContextual"/>
    </w:rPr>
  </w:style>
  <w:style w:type="paragraph" w:styleId="23">
    <w:name w:val="toc 2"/>
    <w:basedOn w:val="1"/>
    <w:qFormat/>
    <w:uiPriority w:val="39"/>
    <w:pPr>
      <w:spacing w:before="37"/>
      <w:ind w:left="699"/>
    </w:pPr>
    <w:rPr>
      <w:rFonts w:ascii="仿宋" w:hAnsi="仿宋" w:eastAsia="仿宋"/>
      <w:sz w:val="24"/>
      <w:szCs w:val="24"/>
    </w:r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  <w:jc w:val="both"/>
    </w:pPr>
    <w:rPr>
      <w:kern w:val="2"/>
      <w:sz w:val="21"/>
      <w:lang w:eastAsia="zh-CN"/>
      <w14:ligatures w14:val="standardContextual"/>
    </w:rPr>
  </w:style>
  <w:style w:type="paragraph" w:styleId="25">
    <w:name w:val="Body Text 2"/>
    <w:basedOn w:val="1"/>
    <w:link w:val="45"/>
    <w:semiHidden/>
    <w:unhideWhenUsed/>
    <w:qFormat/>
    <w:uiPriority w:val="99"/>
    <w:pPr>
      <w:spacing w:after="120" w:line="480" w:lineRule="auto"/>
    </w:pPr>
  </w:style>
  <w:style w:type="character" w:styleId="28">
    <w:name w:val="Hyperlink"/>
    <w:basedOn w:val="2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9">
    <w:name w:val="页眉 字符"/>
    <w:basedOn w:val="27"/>
    <w:link w:val="19"/>
    <w:qFormat/>
    <w:uiPriority w:val="99"/>
    <w:rPr>
      <w:sz w:val="18"/>
      <w:szCs w:val="18"/>
    </w:rPr>
  </w:style>
  <w:style w:type="character" w:customStyle="1" w:styleId="30">
    <w:name w:val="页脚 字符"/>
    <w:basedOn w:val="27"/>
    <w:link w:val="18"/>
    <w:qFormat/>
    <w:uiPriority w:val="99"/>
    <w:rPr>
      <w:sz w:val="18"/>
      <w:szCs w:val="18"/>
    </w:rPr>
  </w:style>
  <w:style w:type="character" w:customStyle="1" w:styleId="31">
    <w:name w:val="正文文本 字符"/>
    <w:basedOn w:val="27"/>
    <w:link w:val="6"/>
    <w:qFormat/>
    <w:uiPriority w:val="1"/>
    <w:rPr>
      <w:rFonts w:ascii="仿宋" w:hAnsi="仿宋" w:eastAsia="仿宋"/>
      <w:kern w:val="0"/>
      <w:sz w:val="28"/>
      <w:szCs w:val="28"/>
      <w:lang w:eastAsia="en-US"/>
    </w:rPr>
  </w:style>
  <w:style w:type="character" w:customStyle="1" w:styleId="32">
    <w:name w:val="标题 1 字符"/>
    <w:basedOn w:val="27"/>
    <w:link w:val="2"/>
    <w:qFormat/>
    <w:uiPriority w:val="9"/>
    <w:rPr>
      <w:rFonts w:ascii="仿宋" w:hAnsi="仿宋" w:eastAsia="仿宋_GB2312" w:cstheme="majorBidi"/>
      <w:kern w:val="0"/>
      <w:sz w:val="36"/>
      <w:szCs w:val="36"/>
      <w:lang w:eastAsia="en-US"/>
    </w:rPr>
  </w:style>
  <w:style w:type="character" w:customStyle="1" w:styleId="33">
    <w:name w:val="标题 2 字符"/>
    <w:basedOn w:val="27"/>
    <w:link w:val="4"/>
    <w:qFormat/>
    <w:uiPriority w:val="9"/>
    <w:rPr>
      <w:rFonts w:ascii="仿宋" w:hAnsi="仿宋" w:eastAsia="仿宋" w:cstheme="majorBidi"/>
      <w:kern w:val="0"/>
      <w:sz w:val="32"/>
      <w:szCs w:val="32"/>
      <w:lang w:eastAsia="en-US"/>
    </w:rPr>
  </w:style>
  <w:style w:type="character" w:customStyle="1" w:styleId="34">
    <w:name w:val="标题 3 字符"/>
    <w:basedOn w:val="27"/>
    <w:link w:val="5"/>
    <w:qFormat/>
    <w:uiPriority w:val="9"/>
    <w:rPr>
      <w:rFonts w:ascii="仿宋" w:hAnsi="仿宋" w:eastAsia="仿宋"/>
      <w:b/>
      <w:bCs/>
      <w:kern w:val="0"/>
      <w:sz w:val="28"/>
      <w:szCs w:val="28"/>
      <w:lang w:eastAsia="en-US"/>
    </w:rPr>
  </w:style>
  <w:style w:type="table" w:customStyle="1" w:styleId="35">
    <w:name w:val="Table Normal"/>
    <w:semiHidden/>
    <w:unhideWhenUsed/>
    <w:qFormat/>
    <w:uiPriority w:val="2"/>
    <w:pPr>
      <w:widowControl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36">
    <w:name w:val="List Paragraph"/>
    <w:basedOn w:val="1"/>
    <w:qFormat/>
    <w:uiPriority w:val="1"/>
  </w:style>
  <w:style w:type="paragraph" w:customStyle="1" w:styleId="37">
    <w:name w:val="Table Paragraph"/>
    <w:basedOn w:val="1"/>
    <w:qFormat/>
    <w:uiPriority w:val="1"/>
  </w:style>
  <w:style w:type="paragraph" w:customStyle="1" w:styleId="38">
    <w:name w:val="TOC 标题1"/>
    <w:basedOn w:val="2"/>
    <w:next w:val="1"/>
    <w:unhideWhenUsed/>
    <w:qFormat/>
    <w:uiPriority w:val="39"/>
    <w:pPr>
      <w:keepNext/>
      <w:keepLines/>
      <w:widowControl/>
      <w:spacing w:before="240" w:line="259" w:lineRule="auto"/>
      <w:outlineLvl w:val="9"/>
    </w:pPr>
    <w:rPr>
      <w:rFonts w:asciiTheme="majorHAnsi" w:hAnsiTheme="majorHAnsi" w:eastAsiaTheme="majorEastAsia"/>
      <w:b/>
      <w:bCs/>
      <w:color w:val="2F5597" w:themeColor="accent1" w:themeShade="BF"/>
      <w:sz w:val="32"/>
      <w:szCs w:val="32"/>
      <w:lang w:eastAsia="zh-CN"/>
    </w:rPr>
  </w:style>
  <w:style w:type="character" w:customStyle="1" w:styleId="39">
    <w:name w:val="标题 4 字符"/>
    <w:basedOn w:val="27"/>
    <w:link w:val="7"/>
    <w:qFormat/>
    <w:uiPriority w:val="9"/>
    <w:rPr>
      <w:rFonts w:asciiTheme="majorHAnsi" w:hAnsiTheme="majorHAnsi" w:eastAsiaTheme="majorEastAsia" w:cstheme="majorBidi"/>
      <w:b/>
      <w:bCs/>
      <w:kern w:val="0"/>
      <w:sz w:val="28"/>
      <w:szCs w:val="28"/>
      <w:lang w:eastAsia="en-US"/>
    </w:rPr>
  </w:style>
  <w:style w:type="character" w:customStyle="1" w:styleId="40">
    <w:name w:val="标题 5 字符"/>
    <w:basedOn w:val="27"/>
    <w:link w:val="8"/>
    <w:semiHidden/>
    <w:qFormat/>
    <w:uiPriority w:val="9"/>
    <w:rPr>
      <w:b/>
      <w:bCs/>
      <w:kern w:val="0"/>
      <w:sz w:val="28"/>
      <w:szCs w:val="28"/>
      <w:lang w:eastAsia="en-US"/>
    </w:rPr>
  </w:style>
  <w:style w:type="character" w:customStyle="1" w:styleId="41">
    <w:name w:val="标题 6 字符"/>
    <w:basedOn w:val="27"/>
    <w:link w:val="9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  <w:lang w:eastAsia="en-US"/>
    </w:rPr>
  </w:style>
  <w:style w:type="character" w:customStyle="1" w:styleId="42">
    <w:name w:val="标题 7 字符"/>
    <w:basedOn w:val="27"/>
    <w:link w:val="10"/>
    <w:semiHidden/>
    <w:qFormat/>
    <w:uiPriority w:val="9"/>
    <w:rPr>
      <w:b/>
      <w:bCs/>
      <w:kern w:val="0"/>
      <w:sz w:val="24"/>
      <w:szCs w:val="24"/>
      <w:lang w:eastAsia="en-US"/>
    </w:rPr>
  </w:style>
  <w:style w:type="character" w:customStyle="1" w:styleId="43">
    <w:name w:val="标题 8 字符"/>
    <w:basedOn w:val="27"/>
    <w:link w:val="11"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  <w:lang w:eastAsia="en-US"/>
    </w:rPr>
  </w:style>
  <w:style w:type="character" w:customStyle="1" w:styleId="44">
    <w:name w:val="标题 9 字符"/>
    <w:basedOn w:val="27"/>
    <w:link w:val="12"/>
    <w:semiHidden/>
    <w:qFormat/>
    <w:uiPriority w:val="9"/>
    <w:rPr>
      <w:rFonts w:asciiTheme="majorHAnsi" w:hAnsiTheme="majorHAnsi" w:eastAsiaTheme="majorEastAsia" w:cstheme="majorBidi"/>
      <w:kern w:val="0"/>
      <w:szCs w:val="21"/>
      <w:lang w:eastAsia="en-US"/>
    </w:rPr>
  </w:style>
  <w:style w:type="character" w:customStyle="1" w:styleId="45">
    <w:name w:val="正文文本 2 字符"/>
    <w:basedOn w:val="27"/>
    <w:link w:val="25"/>
    <w:semiHidden/>
    <w:qFormat/>
    <w:uiPriority w:val="99"/>
    <w:rPr>
      <w:kern w:val="0"/>
      <w:sz w:val="22"/>
      <w:lang w:eastAsia="en-US"/>
    </w:rPr>
  </w:style>
  <w:style w:type="character" w:customStyle="1" w:styleId="46">
    <w:name w:val="正文文本 3 字符"/>
    <w:basedOn w:val="27"/>
    <w:link w:val="14"/>
    <w:semiHidden/>
    <w:qFormat/>
    <w:uiPriority w:val="99"/>
    <w:rPr>
      <w:kern w:val="0"/>
      <w:sz w:val="16"/>
      <w:szCs w:val="16"/>
      <w:lang w:eastAsia="en-US"/>
    </w:rPr>
  </w:style>
  <w:style w:type="character" w:customStyle="1" w:styleId="47">
    <w:name w:val="未处理的提及1"/>
    <w:basedOn w:val="27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8">
    <w:name w:val="标题一"/>
    <w:basedOn w:val="2"/>
    <w:next w:val="1"/>
    <w:link w:val="49"/>
    <w:qFormat/>
    <w:uiPriority w:val="0"/>
    <w:pPr>
      <w:numPr>
        <w:numId w:val="0"/>
      </w:numPr>
      <w:spacing w:before="480"/>
    </w:pPr>
    <w:rPr>
      <w:lang w:eastAsia="zh-CN"/>
    </w:rPr>
  </w:style>
  <w:style w:type="character" w:customStyle="1" w:styleId="49">
    <w:name w:val="标题一 字符"/>
    <w:basedOn w:val="32"/>
    <w:link w:val="48"/>
    <w:qFormat/>
    <w:uiPriority w:val="0"/>
    <w:rPr>
      <w:rFonts w:ascii="仿宋" w:hAnsi="仿宋" w:eastAsia="仿宋_GB2312" w:cstheme="majorBidi"/>
      <w:kern w:val="0"/>
      <w:sz w:val="36"/>
      <w:szCs w:val="36"/>
      <w:lang w:eastAsia="en-US"/>
    </w:rPr>
  </w:style>
  <w:style w:type="character" w:customStyle="1" w:styleId="50">
    <w:name w:val="标题 字符"/>
    <w:basedOn w:val="27"/>
    <w:link w:val="3"/>
    <w:qFormat/>
    <w:uiPriority w:val="10"/>
    <w:rPr>
      <w:rFonts w:asciiTheme="majorHAnsi" w:hAnsiTheme="majorHAnsi" w:eastAsiaTheme="majorEastAsia" w:cstheme="majorBidi"/>
      <w:b/>
      <w:bCs/>
      <w:kern w:val="0"/>
      <w:sz w:val="32"/>
      <w:szCs w:val="32"/>
      <w:lang w:eastAsia="en-US"/>
    </w:rPr>
  </w:style>
  <w:style w:type="paragraph" w:customStyle="1" w:styleId="51">
    <w:name w:val="标题二"/>
    <w:basedOn w:val="3"/>
    <w:next w:val="1"/>
    <w:link w:val="52"/>
    <w:qFormat/>
    <w:uiPriority w:val="0"/>
    <w:rPr>
      <w:rFonts w:eastAsia="仿宋_GB2312"/>
    </w:rPr>
  </w:style>
  <w:style w:type="character" w:customStyle="1" w:styleId="52">
    <w:name w:val="标题二 字符"/>
    <w:basedOn w:val="50"/>
    <w:link w:val="51"/>
    <w:qFormat/>
    <w:uiPriority w:val="0"/>
    <w:rPr>
      <w:rFonts w:eastAsia="仿宋_GB2312" w:asciiTheme="majorHAnsi" w:hAnsiTheme="majorHAnsi" w:cstheme="majorBidi"/>
      <w:kern w:val="0"/>
      <w:sz w:val="32"/>
      <w:szCs w:val="32"/>
      <w:lang w:eastAsia="en-US"/>
    </w:rPr>
  </w:style>
  <w:style w:type="paragraph" w:customStyle="1" w:styleId="53">
    <w:name w:val="样式1"/>
    <w:basedOn w:val="5"/>
    <w:link w:val="54"/>
    <w:qFormat/>
    <w:uiPriority w:val="0"/>
    <w:pPr>
      <w:numPr>
        <w:ilvl w:val="0"/>
        <w:numId w:val="3"/>
      </w:numPr>
    </w:pPr>
    <w:rPr>
      <w:lang w:eastAsia="zh-CN"/>
    </w:rPr>
  </w:style>
  <w:style w:type="character" w:customStyle="1" w:styleId="54">
    <w:name w:val="样式1 字符"/>
    <w:basedOn w:val="34"/>
    <w:link w:val="53"/>
    <w:qFormat/>
    <w:uiPriority w:val="0"/>
    <w:rPr>
      <w:rFonts w:ascii="仿宋" w:hAnsi="仿宋" w:eastAsia="仿宋"/>
      <w:kern w:val="0"/>
      <w:sz w:val="28"/>
      <w:szCs w:val="28"/>
      <w:lang w:eastAsia="en-US"/>
    </w:rPr>
  </w:style>
  <w:style w:type="paragraph" w:customStyle="1" w:styleId="55">
    <w:name w:val="TOC Heading"/>
    <w:basedOn w:val="2"/>
    <w:next w:val="1"/>
    <w:unhideWhenUsed/>
    <w:qFormat/>
    <w:uiPriority w:val="39"/>
    <w:pPr>
      <w:keepNext/>
      <w:keepLines/>
      <w:widowControl/>
      <w:numPr>
        <w:numId w:val="0"/>
      </w:numPr>
      <w:adjustRightInd/>
      <w:snapToGrid/>
      <w:spacing w:before="240" w:beforeLines="0" w:after="0" w:afterAutospacing="0" w:line="259" w:lineRule="auto"/>
      <w:jc w:val="left"/>
      <w:outlineLvl w:val="9"/>
    </w:pPr>
    <w:rPr>
      <w:rFonts w:asciiTheme="majorHAnsi" w:hAnsiTheme="majorHAnsi" w:eastAsiaTheme="majorEastAsia"/>
      <w:color w:val="2F5597" w:themeColor="accent1" w:themeShade="BF"/>
      <w:sz w:val="32"/>
      <w:szCs w:val="32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2.jpeg"/><Relationship Id="rId20" Type="http://schemas.openxmlformats.org/officeDocument/2006/relationships/image" Target="media/image1.jpeg"/><Relationship Id="rId2" Type="http://schemas.openxmlformats.org/officeDocument/2006/relationships/settings" Target="settings.xml"/><Relationship Id="rId19" Type="http://schemas.openxmlformats.org/officeDocument/2006/relationships/theme" Target="theme/theme1.xml"/><Relationship Id="rId18" Type="http://schemas.openxmlformats.org/officeDocument/2006/relationships/header" Target="header7.xml"/><Relationship Id="rId17" Type="http://schemas.openxmlformats.org/officeDocument/2006/relationships/header" Target="header6.xml"/><Relationship Id="rId16" Type="http://schemas.openxmlformats.org/officeDocument/2006/relationships/footer" Target="footer9.xml"/><Relationship Id="rId15" Type="http://schemas.openxmlformats.org/officeDocument/2006/relationships/footer" Target="footer8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02093-483F-4DE3-B311-760ACC7303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7901</Words>
  <Characters>8057</Characters>
  <Lines>311</Lines>
  <Paragraphs>337</Paragraphs>
  <TotalTime>2</TotalTime>
  <ScaleCrop>false</ScaleCrop>
  <LinksUpToDate>false</LinksUpToDate>
  <CharactersWithSpaces>8253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2024-07-31T14:28:00Z</dcterms:created>
  <dc:creator>UIOP</dc:creator>
  <cp:lastModifiedBy>Administrator</cp:lastModifiedBy>
  <cp:lastPrinted>2024-08-01T08:41:00Z</cp:lastPrinted>
  <dcterms:modified xsi:type="dcterms:W3CDTF">2025-09-02T07:59:42Z</dcterms:modified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58373C20EC1F44E28C4FFEBAE6CF5B7D_12</vt:lpwstr>
  </property>
</Properties>
</file>